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喀什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国有资本经营预算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年执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  <w:t>行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  <w:t>年预算编制情况的说明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《中华人民共和国预算法》、《自治区人民政府关于试行国有资本经营预算的意见》(新政发［2008］90号)、《新疆维吾尔自治区本级国有资本经营预算管理办法》(新财企［2014］53号）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文件精神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，喀什市按照“以收定支，收支平衡，不列赤字”的原则，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国有企业20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年度净利润的基础上测算收入预算，编制支出预算，进行202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年国有资本经营预算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年喀什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国有资本经营预算执行情况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收入情况：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喀什市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国有资本经营预算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完成收入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3370万元，其中：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利润收入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3099万元，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国有资本经营预算转移支付收入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国有资本经营预算上年结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转收入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支出情况：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喀什市国有资本经营预算完成支出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3269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其中：国有企业资本金注入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1900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，解决历史遗留问题及改革成本支出139万元，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国有资本经营预算调出资金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1230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转下年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二、202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年喀什市国有资本经营预算编制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编制范围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喀什市纳入监管的国有企业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户，20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年实现净利润的企业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户纳入202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年国有资本经营预算范围，包括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户国有独资企业、1户国有控股企业。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</w:rPr>
        <w:t>上缴比例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喀什市纳入202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年国有资本经营预算的企业利润上缴比例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%。按照《公司法》规定，国有控股公司利润分配由股东大会决议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、202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年国有资本经营预算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收入安排情况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年国有资本经营预算收入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安排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2458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，其中：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利润收入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1858万元，股利、股息收入405万元，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国有资本经营预算转移支付收入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上年结转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收入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支出安排情况：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国有资本经营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预算支出安排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2458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国有企业资本金注入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1584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，解决历史遗留问题及改革成本支出195万元，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国有资本经营预算调出资金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679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收支相抵，预算平衡。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02FD7"/>
    <w:rsid w:val="2D702FD7"/>
    <w:rsid w:val="33A94539"/>
    <w:rsid w:val="47FC68B6"/>
    <w:rsid w:val="52BC7DFD"/>
    <w:rsid w:val="75957ACD"/>
    <w:rsid w:val="796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2024-06-03T02:56:00Z</dcterms:created>
  <dc:creator>国资中心</dc:creator>
  <cp:lastModifiedBy>国资中心</cp:lastModifiedBy>
  <dcterms:modified xsi:type="dcterms:W3CDTF">2024-06-03T08:24:28Z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E4B609547BC7483A9586969E9308F274_12</vt:lpwstr>
  </property>
</Properties>
</file>