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方正小标宋简体" w:hAnsi="方正小标宋简体" w:eastAsia="方正小标宋简体" w:cs="方正小标宋简体"/>
          <w:color w:val="auto"/>
          <w:sz w:val="44"/>
          <w:szCs w:val="44"/>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jc w:val="center"/>
        <w:textAlignment w:val="auto"/>
        <w:rPr>
          <w:rFonts w:hint="eastAsia" w:ascii="Times New Roman" w:hAnsi="Times New Roman" w:eastAsia="方正小标宋简体" w:cs="Times New Roman"/>
          <w:b w:val="0"/>
          <w:bCs/>
          <w:color w:val="auto"/>
          <w:sz w:val="44"/>
          <w:szCs w:val="44"/>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jc w:val="center"/>
        <w:textAlignment w:val="auto"/>
        <w:rPr>
          <w:rFonts w:hint="eastAsia" w:ascii="Times New Roman" w:hAnsi="Times New Roman" w:eastAsia="方正小标宋简体" w:cs="Times New Roman"/>
          <w:b w:val="0"/>
          <w:bCs/>
          <w:color w:val="auto"/>
          <w:sz w:val="44"/>
          <w:szCs w:val="44"/>
          <w:lang w:val="en-US" w:eastAsia="zh-CN"/>
        </w:rPr>
      </w:pPr>
      <w:bookmarkStart w:id="0" w:name="_Toc27587"/>
      <w:bookmarkStart w:id="1" w:name="_Toc18675"/>
      <w:bookmarkStart w:id="2" w:name="_Toc4733"/>
      <w:bookmarkStart w:id="3" w:name="_Toc13621"/>
      <w:bookmarkStart w:id="4" w:name="_Toc12989"/>
      <w:r>
        <w:rPr>
          <w:rFonts w:hint="eastAsia" w:ascii="Times New Roman" w:hAnsi="Times New Roman" w:eastAsia="方正小标宋简体" w:cs="Times New Roman"/>
          <w:b w:val="0"/>
          <w:bCs/>
          <w:color w:val="auto"/>
          <w:sz w:val="44"/>
          <w:szCs w:val="44"/>
          <w:lang w:val="en-US" w:eastAsia="zh-CN"/>
        </w:rPr>
        <w:t>喀什阿瓦提“4·6”一般车辆</w:t>
      </w:r>
      <w:bookmarkEnd w:id="0"/>
      <w:bookmarkEnd w:id="1"/>
      <w:bookmarkEnd w:id="2"/>
      <w:bookmarkStart w:id="5" w:name="_Toc25265"/>
      <w:bookmarkStart w:id="6" w:name="_Toc10320"/>
      <w:bookmarkStart w:id="7" w:name="_Toc5635"/>
      <w:r>
        <w:rPr>
          <w:rFonts w:hint="eastAsia" w:ascii="Times New Roman" w:hAnsi="Times New Roman" w:eastAsia="方正小标宋简体" w:cs="Times New Roman"/>
          <w:b w:val="0"/>
          <w:bCs/>
          <w:color w:val="auto"/>
          <w:sz w:val="44"/>
          <w:szCs w:val="44"/>
          <w:lang w:val="en-US" w:eastAsia="zh-CN"/>
        </w:rPr>
        <w:t>伤害瞒报</w:t>
      </w:r>
      <w:bookmarkEnd w:id="3"/>
      <w:bookmarkEnd w:id="4"/>
    </w:p>
    <w:p>
      <w:pPr>
        <w:pStyle w:val="2"/>
        <w:pageBreakBefore w:val="0"/>
        <w:kinsoku/>
        <w:wordWrap/>
        <w:overflowPunct/>
        <w:topLinePunct w:val="0"/>
        <w:autoSpaceDE/>
        <w:autoSpaceDN/>
        <w:bidi w:val="0"/>
        <w:adjustRightInd/>
        <w:snapToGrid/>
        <w:spacing w:before="0" w:beforeLines="0" w:after="0" w:afterLines="0" w:line="560" w:lineRule="exact"/>
        <w:ind w:left="0"/>
        <w:jc w:val="center"/>
        <w:textAlignment w:val="auto"/>
        <w:rPr>
          <w:rFonts w:hint="eastAsia" w:ascii="Times New Roman" w:hAnsi="Times New Roman" w:eastAsia="方正小标宋简体" w:cs="Times New Roman"/>
          <w:b w:val="0"/>
          <w:bCs/>
          <w:color w:val="auto"/>
          <w:sz w:val="44"/>
          <w:szCs w:val="44"/>
          <w:lang w:val="en-US" w:eastAsia="zh-CN"/>
        </w:rPr>
      </w:pPr>
      <w:bookmarkStart w:id="8" w:name="_Toc1062"/>
      <w:bookmarkStart w:id="9" w:name="_Toc15990"/>
      <w:r>
        <w:rPr>
          <w:rFonts w:hint="eastAsia" w:ascii="Times New Roman" w:hAnsi="Times New Roman" w:eastAsia="方正小标宋简体" w:cs="Times New Roman"/>
          <w:b w:val="0"/>
          <w:bCs/>
          <w:color w:val="auto"/>
          <w:sz w:val="44"/>
          <w:szCs w:val="44"/>
          <w:lang w:val="en-US" w:eastAsia="zh-CN"/>
        </w:rPr>
        <w:t>事故调查报告</w:t>
      </w:r>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喀什市人民政府事故调查组</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Theme="majorEastAsia" w:hAnsiTheme="majorEastAsia" w:eastAsiaTheme="majorEastAsia" w:cstheme="majorEastAsia"/>
          <w:b/>
          <w:bCs/>
          <w:color w:val="auto"/>
          <w:kern w:val="2"/>
          <w:sz w:val="24"/>
          <w:szCs w:val="24"/>
          <w:lang w:val="en-US" w:eastAsia="zh-CN" w:bidi="ar-SA"/>
        </w:rPr>
        <w:sectPr>
          <w:head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sz w:val="32"/>
          <w:szCs w:val="32"/>
          <w:shd w:val="clear" w:color="auto" w:fill="FFFFFF"/>
          <w:lang w:val="en-US" w:eastAsia="zh-CN"/>
        </w:rPr>
        <w:t>2024年8月5日</w:t>
      </w:r>
    </w:p>
    <w:sdt>
      <w:sdtPr>
        <w:rPr>
          <w:rFonts w:hint="eastAsia" w:asciiTheme="minorEastAsia" w:hAnsiTheme="minorEastAsia" w:eastAsiaTheme="minorEastAsia" w:cstheme="minorEastAsia"/>
          <w:b/>
          <w:bCs/>
          <w:color w:val="auto"/>
          <w:kern w:val="2"/>
          <w:sz w:val="28"/>
          <w:szCs w:val="28"/>
          <w:lang w:val="en-US" w:eastAsia="zh-CN" w:bidi="ar-SA"/>
        </w:rPr>
        <w:id w:val="147461330"/>
        <w15:color w:val="DBDBDB"/>
        <w:docPartObj>
          <w:docPartGallery w:val="Table of Contents"/>
          <w:docPartUnique/>
        </w:docPartObj>
      </w:sdtPr>
      <w:sdtEndPr>
        <w:rPr>
          <w:rFonts w:hint="eastAsia" w:ascii="方正仿宋_GBK" w:hAnsi="方正仿宋_GBK" w:eastAsia="方正仿宋_GBK" w:cs="方正仿宋_GBK"/>
          <w:b/>
          <w:bCs/>
          <w:color w:val="auto"/>
          <w:kern w:val="2"/>
          <w:sz w:val="32"/>
          <w:szCs w:val="32"/>
          <w:lang w:val="en-US" w:eastAsia="zh-CN" w:bidi="ar-SA"/>
        </w:rPr>
      </w:sdtEndPr>
      <w:sdtContent>
        <w:p>
          <w:pPr>
            <w:pStyle w:val="2"/>
            <w:keepNext w:val="0"/>
            <w:keepLines w:val="0"/>
            <w:pageBreakBefore w:val="0"/>
            <w:widowControl w:val="0"/>
            <w:tabs>
              <w:tab w:val="right" w:leader="dot" w:pos="8845"/>
            </w:tabs>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rPr>
              <w:rFonts w:eastAsia="方正小标宋_GBK" w:asciiTheme="minorAscii" w:hAnsiTheme="minorAscii" w:cstheme="minorBidi"/>
              <w:b/>
              <w:color w:val="auto"/>
              <w:kern w:val="44"/>
              <w:sz w:val="44"/>
              <w:szCs w:val="24"/>
              <w:lang w:val="en-US" w:eastAsia="zh-CN" w:bidi="ar-SA"/>
            </w:rPr>
          </w:pPr>
          <w:bookmarkStart w:id="10" w:name="_Toc18242"/>
          <w:r>
            <w:rPr>
              <w:rFonts w:hint="eastAsia" w:asciiTheme="minorEastAsia" w:hAnsiTheme="minorEastAsia" w:eastAsiaTheme="minorEastAsia" w:cstheme="minorEastAsia"/>
              <w:b/>
              <w:bCs/>
              <w:color w:val="auto"/>
              <w:sz w:val="32"/>
              <w:szCs w:val="32"/>
            </w:rPr>
            <w:t>目</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bCs/>
              <w:color w:val="auto"/>
              <w:sz w:val="32"/>
              <w:szCs w:val="32"/>
            </w:rPr>
            <w:t>录</w:t>
          </w:r>
          <w:bookmarkEnd w:id="10"/>
          <w:r>
            <w:rPr>
              <w:color w:val="auto"/>
            </w:rPr>
            <w:fldChar w:fldCharType="begin"/>
          </w:r>
          <w:r>
            <w:rPr>
              <w:color w:val="auto"/>
            </w:rPr>
            <w:instrText xml:space="preserve">TOC \o "1-2" \h \u </w:instrText>
          </w:r>
          <w:r>
            <w:rPr>
              <w:color w:val="auto"/>
            </w:rPr>
            <w:fldChar w:fldCharType="separate"/>
          </w:r>
        </w:p>
        <w:p>
          <w:pPr>
            <w:pStyle w:val="12"/>
            <w:tabs>
              <w:tab w:val="right" w:leader="dot" w:pos="8845"/>
            </w:tabs>
            <w:rPr>
              <w:rFonts w:hint="eastAsia" w:ascii="黑体" w:hAnsi="黑体" w:eastAsia="黑体" w:cs="黑体"/>
              <w:sz w:val="24"/>
              <w:szCs w:val="24"/>
            </w:rPr>
          </w:pPr>
          <w:r>
            <w:rPr>
              <w:rFonts w:hint="eastAsia" w:ascii="黑体" w:hAnsi="黑体" w:eastAsia="黑体" w:cs="黑体"/>
              <w:color w:val="auto"/>
              <w:sz w:val="24"/>
              <w:szCs w:val="24"/>
            </w:rPr>
            <w:fldChar w:fldCharType="begin"/>
          </w:r>
          <w:r>
            <w:rPr>
              <w:rFonts w:hint="eastAsia" w:ascii="黑体" w:hAnsi="黑体" w:eastAsia="黑体" w:cs="黑体"/>
              <w:sz w:val="24"/>
              <w:szCs w:val="24"/>
            </w:rPr>
            <w:instrText xml:space="preserve"> HYPERLINK \l _Toc21536 </w:instrText>
          </w:r>
          <w:r>
            <w:rPr>
              <w:rFonts w:hint="eastAsia" w:ascii="黑体" w:hAnsi="黑体" w:eastAsia="黑体" w:cs="黑体"/>
              <w:sz w:val="24"/>
              <w:szCs w:val="24"/>
            </w:rPr>
            <w:fldChar w:fldCharType="separate"/>
          </w:r>
          <w:r>
            <w:rPr>
              <w:rFonts w:hint="eastAsia" w:ascii="黑体" w:hAnsi="黑体" w:eastAsia="黑体" w:cs="黑体"/>
              <w:bCs/>
              <w:sz w:val="24"/>
              <w:szCs w:val="24"/>
              <w:lang w:val="en-US" w:eastAsia="zh-CN"/>
            </w:rPr>
            <w:t>一、 事故基本情况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_Toc21536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color w:val="auto"/>
              <w:sz w:val="24"/>
              <w:szCs w:val="24"/>
            </w:rPr>
            <w:fldChar w:fldCharType="end"/>
          </w:r>
        </w:p>
        <w:p>
          <w:pPr>
            <w:pStyle w:val="12"/>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_Toc15768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val="en-US" w:eastAsia="zh-CN"/>
            </w:rPr>
            <w:t xml:space="preserve">（一） </w:t>
          </w:r>
          <w:r>
            <w:rPr>
              <w:rFonts w:hint="eastAsia" w:asciiTheme="minorEastAsia" w:hAnsiTheme="minorEastAsia" w:eastAsiaTheme="minorEastAsia" w:cstheme="minorEastAsia"/>
              <w:sz w:val="24"/>
              <w:szCs w:val="24"/>
              <w:lang w:val="en-US" w:eastAsia="zh-CN"/>
            </w:rPr>
            <w:t>事故发生单位及相关单位概况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_Toc15768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_Toc17536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val="en-US" w:eastAsia="zh-CN"/>
            </w:rPr>
            <w:t xml:space="preserve">（二） </w:t>
          </w:r>
          <w:r>
            <w:rPr>
              <w:rFonts w:hint="eastAsia" w:asciiTheme="minorEastAsia" w:hAnsiTheme="minorEastAsia" w:eastAsiaTheme="minorEastAsia" w:cstheme="minorEastAsia"/>
              <w:sz w:val="24"/>
              <w:szCs w:val="24"/>
              <w:lang w:val="en-US" w:eastAsia="zh-CN"/>
            </w:rPr>
            <w:t>建设项目概况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_Toc17536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_Toc24394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val="en-US" w:eastAsia="zh-CN"/>
            </w:rPr>
            <w:t xml:space="preserve">（三） </w:t>
          </w:r>
          <w:r>
            <w:rPr>
              <w:rFonts w:hint="eastAsia" w:asciiTheme="minorEastAsia" w:hAnsiTheme="minorEastAsia" w:eastAsiaTheme="minorEastAsia" w:cstheme="minorEastAsia"/>
              <w:sz w:val="24"/>
              <w:szCs w:val="24"/>
              <w:lang w:val="en-US" w:eastAsia="zh-CN"/>
            </w:rPr>
            <w:t>事故发生单位安全管理情况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_Toc24394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_Toc21529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val="en-US" w:eastAsia="zh-CN"/>
            </w:rPr>
            <w:t xml:space="preserve">（四） </w:t>
          </w:r>
          <w:r>
            <w:rPr>
              <w:rFonts w:hint="eastAsia" w:asciiTheme="minorEastAsia" w:hAnsiTheme="minorEastAsia" w:eastAsiaTheme="minorEastAsia" w:cstheme="minorEastAsia"/>
              <w:sz w:val="24"/>
              <w:szCs w:val="24"/>
              <w:lang w:val="en-US" w:eastAsia="zh-CN"/>
            </w:rPr>
            <w:t>事故发生经过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_Toc21529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_Toc27416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val="en-US" w:eastAsia="zh-CN"/>
            </w:rPr>
            <w:t xml:space="preserve">（五） </w:t>
          </w:r>
          <w:r>
            <w:rPr>
              <w:rFonts w:hint="eastAsia" w:asciiTheme="minorEastAsia" w:hAnsiTheme="minorEastAsia" w:eastAsiaTheme="minorEastAsia" w:cstheme="minorEastAsia"/>
              <w:sz w:val="24"/>
              <w:szCs w:val="24"/>
              <w:lang w:val="en-US" w:eastAsia="zh-CN"/>
            </w:rPr>
            <w:t>事故现场情况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_Toc27416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_Toc14090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val="en-US" w:eastAsia="zh-CN"/>
            </w:rPr>
            <w:t xml:space="preserve">（六） </w:t>
          </w:r>
          <w:r>
            <w:rPr>
              <w:rFonts w:hint="eastAsia" w:asciiTheme="minorEastAsia" w:hAnsiTheme="minorEastAsia" w:eastAsiaTheme="minorEastAsia" w:cstheme="minorEastAsia"/>
              <w:sz w:val="24"/>
              <w:szCs w:val="24"/>
              <w:lang w:val="en-US" w:eastAsia="zh-CN"/>
            </w:rPr>
            <w:t>人员伤亡和直接经济损失情况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_Toc14090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_Toc3283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val="en-US" w:eastAsia="zh-CN"/>
            </w:rPr>
            <w:t xml:space="preserve">（七） </w:t>
          </w:r>
          <w:r>
            <w:rPr>
              <w:rFonts w:hint="eastAsia" w:asciiTheme="minorEastAsia" w:hAnsiTheme="minorEastAsia" w:eastAsiaTheme="minorEastAsia" w:cstheme="minorEastAsia"/>
              <w:sz w:val="24"/>
              <w:szCs w:val="24"/>
              <w:lang w:val="en-US" w:eastAsia="zh-CN"/>
            </w:rPr>
            <w:t>其他情况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_Toc3283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_Toc22860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lang w:val="en-US" w:eastAsia="zh-CN"/>
            </w:rPr>
            <w:t>二、 事故应急处置及评估情况</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_Toc22860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pPr>
            <w:pStyle w:val="12"/>
            <w:tabs>
              <w:tab w:val="right" w:leader="dot" w:pos="8845"/>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_Toc23126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（一）事故信息接报及响应情况</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_Toc23126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_Toc29703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（二）事故现场应急处置情况</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_Toc29703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_Toc8187 </w:instrText>
          </w:r>
          <w:r>
            <w:rPr>
              <w:rFonts w:hint="eastAsia" w:asciiTheme="minorEastAsia" w:hAnsiTheme="minorEastAsia" w:eastAsiaTheme="minorEastAsia" w:cstheme="minorEastAsia"/>
              <w:color w:val="auto"/>
              <w:sz w:val="24"/>
              <w:szCs w:val="24"/>
            </w:rPr>
            <w:fldChar w:fldCharType="separate"/>
          </w:r>
          <w:r>
            <w:rPr>
              <w:rFonts w:hint="default" w:asciiTheme="minorEastAsia" w:hAnsiTheme="minorEastAsia" w:eastAsiaTheme="minorEastAsia" w:cstheme="minorEastAsia"/>
              <w:color w:val="auto"/>
              <w:sz w:val="24"/>
              <w:szCs w:val="24"/>
              <w:lang w:val="en-US" w:eastAsia="zh-CN"/>
            </w:rPr>
            <w:t>（三）医疗救治情况</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_Toc8187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_Toc692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（四）</w:t>
          </w:r>
          <w:r>
            <w:rPr>
              <w:rFonts w:hint="default" w:asciiTheme="minorEastAsia" w:hAnsiTheme="minorEastAsia" w:eastAsiaTheme="minorEastAsia" w:cstheme="minorEastAsia"/>
              <w:color w:val="auto"/>
              <w:sz w:val="24"/>
              <w:szCs w:val="24"/>
              <w:lang w:val="en-US" w:eastAsia="zh-CN"/>
            </w:rPr>
            <w:t>事故应急处置评估</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_Toc692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_Toc29111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（五）事故相关检验检测和鉴定情况</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_Toc29111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_Toc15956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（六）</w:t>
          </w:r>
          <w:r>
            <w:rPr>
              <w:rFonts w:hint="default" w:asciiTheme="minorEastAsia" w:hAnsiTheme="minorEastAsia" w:eastAsiaTheme="minorEastAsia" w:cstheme="minorEastAsia"/>
              <w:color w:val="auto"/>
              <w:sz w:val="24"/>
              <w:szCs w:val="24"/>
              <w:lang w:val="en-US" w:eastAsia="zh-CN"/>
            </w:rPr>
            <w:t>其他可能因素排除</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_Toc15956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9</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2"/>
            <w:tabs>
              <w:tab w:val="right" w:leader="dot" w:pos="8845"/>
            </w:tabs>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fldChar w:fldCharType="begin"/>
          </w:r>
          <w:r>
            <w:rPr>
              <w:rFonts w:hint="eastAsia" w:ascii="黑体" w:hAnsi="黑体" w:eastAsia="黑体" w:cs="黑体"/>
              <w:color w:val="auto"/>
              <w:sz w:val="24"/>
              <w:szCs w:val="24"/>
              <w:lang w:val="en-US" w:eastAsia="zh-CN"/>
            </w:rPr>
            <w:instrText xml:space="preserve"> HYPERLINK \l _Toc11773 </w:instrText>
          </w:r>
          <w:r>
            <w:rPr>
              <w:rFonts w:hint="eastAsia" w:ascii="黑体" w:hAnsi="黑体" w:eastAsia="黑体" w:cs="黑体"/>
              <w:color w:val="auto"/>
              <w:sz w:val="24"/>
              <w:szCs w:val="24"/>
              <w:lang w:val="en-US" w:eastAsia="zh-CN"/>
            </w:rPr>
            <w:fldChar w:fldCharType="separate"/>
          </w:r>
          <w:r>
            <w:rPr>
              <w:rFonts w:hint="eastAsia" w:ascii="黑体" w:hAnsi="黑体" w:eastAsia="黑体" w:cs="黑体"/>
              <w:color w:val="auto"/>
              <w:sz w:val="24"/>
              <w:szCs w:val="24"/>
              <w:lang w:val="en-US" w:eastAsia="zh-CN"/>
            </w:rPr>
            <w:t xml:space="preserve">三、 </w:t>
          </w:r>
          <w:r>
            <w:rPr>
              <w:rFonts w:hint="default" w:ascii="黑体" w:hAnsi="黑体" w:eastAsia="黑体" w:cs="黑体"/>
              <w:color w:val="auto"/>
              <w:sz w:val="24"/>
              <w:szCs w:val="24"/>
              <w:lang w:val="en-US" w:eastAsia="zh-CN"/>
            </w:rPr>
            <w:t>事故原因</w:t>
          </w:r>
          <w:r>
            <w:rPr>
              <w:rFonts w:hint="eastAsia" w:ascii="黑体" w:hAnsi="黑体" w:eastAsia="黑体" w:cs="黑体"/>
              <w:color w:val="auto"/>
              <w:sz w:val="24"/>
              <w:szCs w:val="24"/>
              <w:lang w:val="en-US" w:eastAsia="zh-CN"/>
            </w:rPr>
            <w:tab/>
          </w:r>
          <w:r>
            <w:rPr>
              <w:rFonts w:hint="eastAsia" w:ascii="黑体" w:hAnsi="黑体" w:eastAsia="黑体" w:cs="黑体"/>
              <w:color w:val="auto"/>
              <w:sz w:val="24"/>
              <w:szCs w:val="24"/>
              <w:lang w:val="en-US" w:eastAsia="zh-CN"/>
            </w:rPr>
            <w:fldChar w:fldCharType="begin"/>
          </w:r>
          <w:r>
            <w:rPr>
              <w:rFonts w:hint="eastAsia" w:ascii="黑体" w:hAnsi="黑体" w:eastAsia="黑体" w:cs="黑体"/>
              <w:color w:val="auto"/>
              <w:sz w:val="24"/>
              <w:szCs w:val="24"/>
              <w:lang w:val="en-US" w:eastAsia="zh-CN"/>
            </w:rPr>
            <w:instrText xml:space="preserve"> PAGEREF _Toc11773 \h </w:instrText>
          </w:r>
          <w:r>
            <w:rPr>
              <w:rFonts w:hint="eastAsia" w:ascii="黑体" w:hAnsi="黑体" w:eastAsia="黑体" w:cs="黑体"/>
              <w:color w:val="auto"/>
              <w:sz w:val="24"/>
              <w:szCs w:val="24"/>
              <w:lang w:val="en-US" w:eastAsia="zh-CN"/>
            </w:rPr>
            <w:fldChar w:fldCharType="separate"/>
          </w:r>
          <w:r>
            <w:rPr>
              <w:rFonts w:hint="eastAsia" w:ascii="黑体" w:hAnsi="黑体" w:eastAsia="黑体" w:cs="黑体"/>
              <w:color w:val="auto"/>
              <w:sz w:val="24"/>
              <w:szCs w:val="24"/>
              <w:lang w:val="en-US" w:eastAsia="zh-CN"/>
            </w:rPr>
            <w:t>9</w:t>
          </w:r>
          <w:r>
            <w:rPr>
              <w:rFonts w:hint="eastAsia" w:ascii="黑体" w:hAnsi="黑体" w:eastAsia="黑体" w:cs="黑体"/>
              <w:color w:val="auto"/>
              <w:sz w:val="24"/>
              <w:szCs w:val="24"/>
              <w:lang w:val="en-US" w:eastAsia="zh-CN"/>
            </w:rPr>
            <w:fldChar w:fldCharType="end"/>
          </w:r>
          <w:r>
            <w:rPr>
              <w:rFonts w:hint="eastAsia" w:ascii="黑体" w:hAnsi="黑体" w:eastAsia="黑体" w:cs="黑体"/>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_Toc14135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（一）</w:t>
          </w:r>
          <w:r>
            <w:rPr>
              <w:rFonts w:hint="default" w:asciiTheme="minorEastAsia" w:hAnsiTheme="minorEastAsia" w:eastAsiaTheme="minorEastAsia" w:cstheme="minorEastAsia"/>
              <w:color w:val="auto"/>
              <w:sz w:val="24"/>
              <w:szCs w:val="24"/>
              <w:lang w:val="en-US" w:eastAsia="zh-CN"/>
            </w:rPr>
            <w:t>直接原因</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_Toc14135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_Toc18649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（二）间接原因</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_Toc18649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fldChar w:fldCharType="begin"/>
          </w:r>
          <w:r>
            <w:rPr>
              <w:rFonts w:hint="eastAsia" w:ascii="黑体" w:hAnsi="黑体" w:eastAsia="黑体" w:cs="黑体"/>
              <w:color w:val="auto"/>
              <w:sz w:val="24"/>
              <w:szCs w:val="24"/>
              <w:lang w:val="en-US" w:eastAsia="zh-CN"/>
            </w:rPr>
            <w:instrText xml:space="preserve"> HYPERLINK \l _Toc10799 </w:instrText>
          </w:r>
          <w:r>
            <w:rPr>
              <w:rFonts w:hint="eastAsia" w:ascii="黑体" w:hAnsi="黑体" w:eastAsia="黑体" w:cs="黑体"/>
              <w:color w:val="auto"/>
              <w:sz w:val="24"/>
              <w:szCs w:val="24"/>
              <w:lang w:val="en-US" w:eastAsia="zh-CN"/>
            </w:rPr>
            <w:fldChar w:fldCharType="separate"/>
          </w:r>
          <w:r>
            <w:rPr>
              <w:rFonts w:hint="eastAsia" w:ascii="黑体" w:hAnsi="黑体" w:eastAsia="黑体" w:cs="黑体"/>
              <w:color w:val="auto"/>
              <w:sz w:val="24"/>
              <w:szCs w:val="24"/>
              <w:lang w:val="en-US" w:eastAsia="zh-CN"/>
            </w:rPr>
            <w:t xml:space="preserve">四、 </w:t>
          </w:r>
          <w:r>
            <w:rPr>
              <w:rFonts w:hint="default" w:ascii="黑体" w:hAnsi="黑体" w:eastAsia="黑体" w:cs="黑体"/>
              <w:color w:val="auto"/>
              <w:sz w:val="24"/>
              <w:szCs w:val="24"/>
              <w:lang w:val="en-US" w:eastAsia="zh-CN"/>
            </w:rPr>
            <w:t>有关责任单位存在的主要问题</w:t>
          </w:r>
          <w:r>
            <w:rPr>
              <w:rFonts w:hint="eastAsia" w:ascii="黑体" w:hAnsi="黑体" w:eastAsia="黑体" w:cs="黑体"/>
              <w:color w:val="auto"/>
              <w:sz w:val="24"/>
              <w:szCs w:val="24"/>
              <w:lang w:val="en-US" w:eastAsia="zh-CN"/>
            </w:rPr>
            <w:tab/>
          </w:r>
          <w:r>
            <w:rPr>
              <w:rFonts w:hint="eastAsia" w:ascii="黑体" w:hAnsi="黑体" w:eastAsia="黑体" w:cs="黑体"/>
              <w:color w:val="auto"/>
              <w:sz w:val="24"/>
              <w:szCs w:val="24"/>
              <w:lang w:val="en-US" w:eastAsia="zh-CN"/>
            </w:rPr>
            <w:fldChar w:fldCharType="begin"/>
          </w:r>
          <w:r>
            <w:rPr>
              <w:rFonts w:hint="eastAsia" w:ascii="黑体" w:hAnsi="黑体" w:eastAsia="黑体" w:cs="黑体"/>
              <w:color w:val="auto"/>
              <w:sz w:val="24"/>
              <w:szCs w:val="24"/>
              <w:lang w:val="en-US" w:eastAsia="zh-CN"/>
            </w:rPr>
            <w:instrText xml:space="preserve"> PAGEREF _Toc10799 \h </w:instrText>
          </w:r>
          <w:r>
            <w:rPr>
              <w:rFonts w:hint="eastAsia" w:ascii="黑体" w:hAnsi="黑体" w:eastAsia="黑体" w:cs="黑体"/>
              <w:color w:val="auto"/>
              <w:sz w:val="24"/>
              <w:szCs w:val="24"/>
              <w:lang w:val="en-US" w:eastAsia="zh-CN"/>
            </w:rPr>
            <w:fldChar w:fldCharType="separate"/>
          </w:r>
          <w:r>
            <w:rPr>
              <w:rFonts w:hint="eastAsia" w:ascii="黑体" w:hAnsi="黑体" w:eastAsia="黑体" w:cs="黑体"/>
              <w:color w:val="auto"/>
              <w:sz w:val="24"/>
              <w:szCs w:val="24"/>
              <w:lang w:val="en-US" w:eastAsia="zh-CN"/>
            </w:rPr>
            <w:t>11</w:t>
          </w:r>
          <w:r>
            <w:rPr>
              <w:rFonts w:hint="eastAsia" w:ascii="黑体" w:hAnsi="黑体" w:eastAsia="黑体" w:cs="黑体"/>
              <w:color w:val="auto"/>
              <w:sz w:val="24"/>
              <w:szCs w:val="24"/>
              <w:lang w:val="en-US" w:eastAsia="zh-CN"/>
            </w:rPr>
            <w:fldChar w:fldCharType="end"/>
          </w:r>
          <w:r>
            <w:rPr>
              <w:rFonts w:hint="eastAsia" w:ascii="黑体" w:hAnsi="黑体" w:eastAsia="黑体" w:cs="黑体"/>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_Toc10478 </w:instrText>
          </w:r>
          <w:r>
            <w:rPr>
              <w:rFonts w:hint="eastAsia" w:asciiTheme="minorEastAsia" w:hAnsiTheme="minorEastAsia" w:eastAsiaTheme="minorEastAsia" w:cstheme="minorEastAsia"/>
              <w:color w:val="auto"/>
              <w:sz w:val="24"/>
              <w:szCs w:val="24"/>
              <w:lang w:val="en-US" w:eastAsia="zh-CN"/>
            </w:rPr>
            <w:fldChar w:fldCharType="separate"/>
          </w:r>
          <w:r>
            <w:rPr>
              <w:rFonts w:hint="default" w:asciiTheme="minorEastAsia" w:hAnsiTheme="minorEastAsia" w:eastAsiaTheme="minorEastAsia" w:cstheme="minorEastAsia"/>
              <w:color w:val="auto"/>
              <w:sz w:val="24"/>
              <w:szCs w:val="24"/>
              <w:lang w:val="en-US" w:eastAsia="zh-CN"/>
            </w:rPr>
            <w:t>（一）事故</w:t>
          </w:r>
          <w:r>
            <w:rPr>
              <w:rFonts w:hint="eastAsia" w:asciiTheme="minorEastAsia" w:hAnsiTheme="minorEastAsia" w:eastAsiaTheme="minorEastAsia" w:cstheme="minorEastAsia"/>
              <w:color w:val="auto"/>
              <w:sz w:val="24"/>
              <w:szCs w:val="24"/>
              <w:lang w:val="en-US" w:eastAsia="zh-CN"/>
            </w:rPr>
            <w:t>发生</w:t>
          </w:r>
          <w:r>
            <w:rPr>
              <w:rFonts w:hint="default" w:asciiTheme="minorEastAsia" w:hAnsiTheme="minorEastAsia" w:eastAsiaTheme="minorEastAsia" w:cstheme="minorEastAsia"/>
              <w:color w:val="auto"/>
              <w:sz w:val="24"/>
              <w:szCs w:val="24"/>
              <w:lang w:val="en-US" w:eastAsia="zh-CN"/>
            </w:rPr>
            <w:t>单位</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_Toc10478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_Toc21535 </w:instrText>
          </w:r>
          <w:r>
            <w:rPr>
              <w:rFonts w:hint="eastAsia" w:asciiTheme="minorEastAsia" w:hAnsiTheme="minorEastAsia" w:eastAsiaTheme="minorEastAsia" w:cstheme="minorEastAsia"/>
              <w:color w:val="auto"/>
              <w:sz w:val="24"/>
              <w:szCs w:val="24"/>
              <w:lang w:val="en-US" w:eastAsia="zh-CN"/>
            </w:rPr>
            <w:fldChar w:fldCharType="separate"/>
          </w:r>
          <w:r>
            <w:rPr>
              <w:rFonts w:hint="default"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val="en-US" w:eastAsia="zh-CN"/>
            </w:rPr>
            <w:t>有关监管部门</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_Toc21535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default" w:ascii="黑体" w:hAnsi="黑体" w:eastAsia="黑体" w:cs="黑体"/>
              <w:color w:val="auto"/>
              <w:sz w:val="24"/>
              <w:szCs w:val="24"/>
              <w:lang w:val="en-US" w:eastAsia="zh-CN"/>
            </w:rPr>
          </w:pPr>
          <w:r>
            <w:rPr>
              <w:rFonts w:hint="default" w:ascii="黑体" w:hAnsi="黑体" w:eastAsia="黑体" w:cs="黑体"/>
              <w:color w:val="auto"/>
              <w:sz w:val="24"/>
              <w:szCs w:val="24"/>
              <w:lang w:val="en-US" w:eastAsia="zh-CN"/>
            </w:rPr>
            <w:fldChar w:fldCharType="begin"/>
          </w:r>
          <w:r>
            <w:rPr>
              <w:rFonts w:hint="default" w:ascii="黑体" w:hAnsi="黑体" w:eastAsia="黑体" w:cs="黑体"/>
              <w:color w:val="auto"/>
              <w:sz w:val="24"/>
              <w:szCs w:val="24"/>
              <w:lang w:val="en-US" w:eastAsia="zh-CN"/>
            </w:rPr>
            <w:instrText xml:space="preserve"> HYPERLINK \l _Toc27951 </w:instrText>
          </w:r>
          <w:r>
            <w:rPr>
              <w:rFonts w:hint="default" w:ascii="黑体" w:hAnsi="黑体" w:eastAsia="黑体" w:cs="黑体"/>
              <w:color w:val="auto"/>
              <w:sz w:val="24"/>
              <w:szCs w:val="24"/>
              <w:lang w:val="en-US" w:eastAsia="zh-CN"/>
            </w:rPr>
            <w:fldChar w:fldCharType="separate"/>
          </w:r>
          <w:r>
            <w:rPr>
              <w:rFonts w:hint="eastAsia" w:ascii="黑体" w:hAnsi="黑体" w:eastAsia="黑体" w:cs="黑体"/>
              <w:color w:val="auto"/>
              <w:sz w:val="24"/>
              <w:szCs w:val="24"/>
              <w:lang w:val="en-US" w:eastAsia="zh-CN"/>
            </w:rPr>
            <w:t xml:space="preserve">五、 </w:t>
          </w:r>
          <w:r>
            <w:rPr>
              <w:rFonts w:hint="default" w:ascii="黑体" w:hAnsi="黑体" w:eastAsia="黑体" w:cs="黑体"/>
              <w:color w:val="auto"/>
              <w:sz w:val="24"/>
              <w:szCs w:val="24"/>
              <w:lang w:val="en-US" w:eastAsia="zh-CN"/>
            </w:rPr>
            <w:t>对有关责任人员和单位的处理建议</w:t>
          </w:r>
          <w:r>
            <w:rPr>
              <w:rFonts w:hint="default" w:ascii="黑体" w:hAnsi="黑体" w:eastAsia="黑体" w:cs="黑体"/>
              <w:color w:val="auto"/>
              <w:sz w:val="24"/>
              <w:szCs w:val="24"/>
              <w:lang w:val="en-US" w:eastAsia="zh-CN"/>
            </w:rPr>
            <w:tab/>
          </w:r>
          <w:r>
            <w:rPr>
              <w:rFonts w:hint="default" w:ascii="黑体" w:hAnsi="黑体" w:eastAsia="黑体" w:cs="黑体"/>
              <w:color w:val="auto"/>
              <w:sz w:val="24"/>
              <w:szCs w:val="24"/>
              <w:lang w:val="en-US" w:eastAsia="zh-CN"/>
            </w:rPr>
            <w:fldChar w:fldCharType="begin"/>
          </w:r>
          <w:r>
            <w:rPr>
              <w:rFonts w:hint="default" w:ascii="黑体" w:hAnsi="黑体" w:eastAsia="黑体" w:cs="黑体"/>
              <w:color w:val="auto"/>
              <w:sz w:val="24"/>
              <w:szCs w:val="24"/>
              <w:lang w:val="en-US" w:eastAsia="zh-CN"/>
            </w:rPr>
            <w:instrText xml:space="preserve"> PAGEREF _Toc27951 \h </w:instrText>
          </w:r>
          <w:r>
            <w:rPr>
              <w:rFonts w:hint="default" w:ascii="黑体" w:hAnsi="黑体" w:eastAsia="黑体" w:cs="黑体"/>
              <w:color w:val="auto"/>
              <w:sz w:val="24"/>
              <w:szCs w:val="24"/>
              <w:lang w:val="en-US" w:eastAsia="zh-CN"/>
            </w:rPr>
            <w:fldChar w:fldCharType="separate"/>
          </w:r>
          <w:r>
            <w:rPr>
              <w:rFonts w:hint="default" w:ascii="黑体" w:hAnsi="黑体" w:eastAsia="黑体" w:cs="黑体"/>
              <w:color w:val="auto"/>
              <w:sz w:val="24"/>
              <w:szCs w:val="24"/>
              <w:lang w:val="en-US" w:eastAsia="zh-CN"/>
            </w:rPr>
            <w:t>12</w:t>
          </w:r>
          <w:r>
            <w:rPr>
              <w:rFonts w:hint="default" w:ascii="黑体" w:hAnsi="黑体" w:eastAsia="黑体" w:cs="黑体"/>
              <w:color w:val="auto"/>
              <w:sz w:val="24"/>
              <w:szCs w:val="24"/>
              <w:lang w:val="en-US" w:eastAsia="zh-CN"/>
            </w:rPr>
            <w:fldChar w:fldCharType="end"/>
          </w:r>
          <w:r>
            <w:rPr>
              <w:rFonts w:hint="default" w:ascii="黑体" w:hAnsi="黑体" w:eastAsia="黑体" w:cs="黑体"/>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_Toc24392 </w:instrText>
          </w:r>
          <w:r>
            <w:rPr>
              <w:rFonts w:hint="eastAsia" w:asciiTheme="minorEastAsia" w:hAnsiTheme="minorEastAsia" w:eastAsiaTheme="minorEastAsia" w:cstheme="minorEastAsia"/>
              <w:color w:val="auto"/>
              <w:sz w:val="24"/>
              <w:szCs w:val="24"/>
              <w:lang w:val="en-US" w:eastAsia="zh-CN"/>
            </w:rPr>
            <w:fldChar w:fldCharType="separate"/>
          </w:r>
          <w:r>
            <w:rPr>
              <w:rFonts w:hint="default"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val="en-US" w:eastAsia="zh-CN"/>
            </w:rPr>
            <w:t>对有关公职人员的处理建议</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_Toc24392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_Toc27019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（二）对事故有关责任人员的行政处罚建议</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_Toc27019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_Toc8137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（三）对事故有关责任单位的行政处罚建议</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_Toc8137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default" w:ascii="黑体" w:hAnsi="黑体" w:eastAsia="黑体" w:cs="黑体"/>
              <w:color w:val="auto"/>
              <w:sz w:val="24"/>
              <w:szCs w:val="24"/>
              <w:lang w:val="en-US" w:eastAsia="zh-CN"/>
            </w:rPr>
          </w:pPr>
          <w:r>
            <w:rPr>
              <w:rFonts w:hint="default" w:ascii="黑体" w:hAnsi="黑体" w:eastAsia="黑体" w:cs="黑体"/>
              <w:color w:val="auto"/>
              <w:sz w:val="24"/>
              <w:szCs w:val="24"/>
              <w:lang w:val="en-US" w:eastAsia="zh-CN"/>
            </w:rPr>
            <w:fldChar w:fldCharType="begin"/>
          </w:r>
          <w:r>
            <w:rPr>
              <w:rFonts w:hint="default" w:ascii="黑体" w:hAnsi="黑体" w:eastAsia="黑体" w:cs="黑体"/>
              <w:color w:val="auto"/>
              <w:sz w:val="24"/>
              <w:szCs w:val="24"/>
              <w:lang w:val="en-US" w:eastAsia="zh-CN"/>
            </w:rPr>
            <w:instrText xml:space="preserve"> HYPERLINK \l _Toc23020 </w:instrText>
          </w:r>
          <w:r>
            <w:rPr>
              <w:rFonts w:hint="default" w:ascii="黑体" w:hAnsi="黑体" w:eastAsia="黑体" w:cs="黑体"/>
              <w:color w:val="auto"/>
              <w:sz w:val="24"/>
              <w:szCs w:val="24"/>
              <w:lang w:val="en-US" w:eastAsia="zh-CN"/>
            </w:rPr>
            <w:fldChar w:fldCharType="separate"/>
          </w:r>
          <w:r>
            <w:rPr>
              <w:rFonts w:hint="eastAsia" w:ascii="黑体" w:hAnsi="黑体" w:eastAsia="黑体" w:cs="黑体"/>
              <w:color w:val="auto"/>
              <w:sz w:val="24"/>
              <w:szCs w:val="24"/>
              <w:lang w:val="en-US" w:eastAsia="zh-CN"/>
            </w:rPr>
            <w:t>六、 事故主要教训</w:t>
          </w:r>
          <w:r>
            <w:rPr>
              <w:rFonts w:hint="default" w:ascii="黑体" w:hAnsi="黑体" w:eastAsia="黑体" w:cs="黑体"/>
              <w:color w:val="auto"/>
              <w:sz w:val="24"/>
              <w:szCs w:val="24"/>
              <w:lang w:val="en-US" w:eastAsia="zh-CN"/>
            </w:rPr>
            <w:tab/>
          </w:r>
          <w:r>
            <w:rPr>
              <w:rFonts w:hint="default" w:ascii="黑体" w:hAnsi="黑体" w:eastAsia="黑体" w:cs="黑体"/>
              <w:color w:val="auto"/>
              <w:sz w:val="24"/>
              <w:szCs w:val="24"/>
              <w:lang w:val="en-US" w:eastAsia="zh-CN"/>
            </w:rPr>
            <w:fldChar w:fldCharType="begin"/>
          </w:r>
          <w:r>
            <w:rPr>
              <w:rFonts w:hint="default" w:ascii="黑体" w:hAnsi="黑体" w:eastAsia="黑体" w:cs="黑体"/>
              <w:color w:val="auto"/>
              <w:sz w:val="24"/>
              <w:szCs w:val="24"/>
              <w:lang w:val="en-US" w:eastAsia="zh-CN"/>
            </w:rPr>
            <w:instrText xml:space="preserve"> PAGEREF _Toc23020 \h </w:instrText>
          </w:r>
          <w:r>
            <w:rPr>
              <w:rFonts w:hint="default" w:ascii="黑体" w:hAnsi="黑体" w:eastAsia="黑体" w:cs="黑体"/>
              <w:color w:val="auto"/>
              <w:sz w:val="24"/>
              <w:szCs w:val="24"/>
              <w:lang w:val="en-US" w:eastAsia="zh-CN"/>
            </w:rPr>
            <w:fldChar w:fldCharType="separate"/>
          </w:r>
          <w:r>
            <w:rPr>
              <w:rFonts w:hint="default" w:ascii="黑体" w:hAnsi="黑体" w:eastAsia="黑体" w:cs="黑体"/>
              <w:color w:val="auto"/>
              <w:sz w:val="24"/>
              <w:szCs w:val="24"/>
              <w:lang w:val="en-US" w:eastAsia="zh-CN"/>
            </w:rPr>
            <w:t>17</w:t>
          </w:r>
          <w:r>
            <w:rPr>
              <w:rFonts w:hint="default" w:ascii="黑体" w:hAnsi="黑体" w:eastAsia="黑体" w:cs="黑体"/>
              <w:color w:val="auto"/>
              <w:sz w:val="24"/>
              <w:szCs w:val="24"/>
              <w:lang w:val="en-US" w:eastAsia="zh-CN"/>
            </w:rPr>
            <w:fldChar w:fldCharType="end"/>
          </w:r>
          <w:r>
            <w:rPr>
              <w:rFonts w:hint="default" w:ascii="黑体" w:hAnsi="黑体" w:eastAsia="黑体" w:cs="黑体"/>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_Toc16667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（一）要进一步完善各项安全管理制度</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_Toc16667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_Toc1589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（二）明确安全生产职责</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_Toc1589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_Toc21665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（三）强化安全生产闭环管理</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_Toc21665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\l _Toc10019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（四）切实树立群众利益无小事的理念</w:t>
          </w:r>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PAGEREF _Toc10019 \h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fldChar w:fldCharType="end"/>
          </w:r>
        </w:p>
        <w:p>
          <w:pPr>
            <w:pStyle w:val="12"/>
            <w:tabs>
              <w:tab w:val="right" w:leader="dot" w:pos="8845"/>
            </w:tabs>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fldChar w:fldCharType="begin"/>
          </w:r>
          <w:r>
            <w:rPr>
              <w:rFonts w:hint="eastAsia" w:ascii="黑体" w:hAnsi="黑体" w:eastAsia="黑体" w:cs="黑体"/>
              <w:color w:val="auto"/>
              <w:sz w:val="24"/>
              <w:szCs w:val="24"/>
              <w:lang w:val="en-US" w:eastAsia="zh-CN"/>
            </w:rPr>
            <w:instrText xml:space="preserve"> HYPERLINK \l _Toc29054 </w:instrText>
          </w:r>
          <w:r>
            <w:rPr>
              <w:rFonts w:hint="eastAsia" w:ascii="黑体" w:hAnsi="黑体" w:eastAsia="黑体" w:cs="黑体"/>
              <w:color w:val="auto"/>
              <w:sz w:val="24"/>
              <w:szCs w:val="24"/>
              <w:lang w:val="en-US" w:eastAsia="zh-CN"/>
            </w:rPr>
            <w:fldChar w:fldCharType="separate"/>
          </w:r>
          <w:r>
            <w:rPr>
              <w:rFonts w:hint="eastAsia" w:ascii="黑体" w:hAnsi="黑体" w:eastAsia="黑体" w:cs="黑体"/>
              <w:color w:val="auto"/>
              <w:sz w:val="24"/>
              <w:szCs w:val="24"/>
              <w:lang w:val="en-US" w:eastAsia="zh-CN"/>
            </w:rPr>
            <w:t>七、 事故整改和防范措施</w:t>
          </w:r>
          <w:r>
            <w:rPr>
              <w:rFonts w:hint="eastAsia" w:ascii="黑体" w:hAnsi="黑体" w:eastAsia="黑体" w:cs="黑体"/>
              <w:color w:val="auto"/>
              <w:sz w:val="24"/>
              <w:szCs w:val="24"/>
              <w:lang w:val="en-US" w:eastAsia="zh-CN"/>
            </w:rPr>
            <w:tab/>
          </w:r>
          <w:r>
            <w:rPr>
              <w:rFonts w:hint="eastAsia" w:ascii="黑体" w:hAnsi="黑体" w:eastAsia="黑体" w:cs="黑体"/>
              <w:color w:val="auto"/>
              <w:sz w:val="24"/>
              <w:szCs w:val="24"/>
              <w:lang w:val="en-US" w:eastAsia="zh-CN"/>
            </w:rPr>
            <w:fldChar w:fldCharType="begin"/>
          </w:r>
          <w:r>
            <w:rPr>
              <w:rFonts w:hint="eastAsia" w:ascii="黑体" w:hAnsi="黑体" w:eastAsia="黑体" w:cs="黑体"/>
              <w:color w:val="auto"/>
              <w:sz w:val="24"/>
              <w:szCs w:val="24"/>
              <w:lang w:val="en-US" w:eastAsia="zh-CN"/>
            </w:rPr>
            <w:instrText xml:space="preserve"> PAGEREF _Toc29054 \h </w:instrText>
          </w:r>
          <w:r>
            <w:rPr>
              <w:rFonts w:hint="eastAsia" w:ascii="黑体" w:hAnsi="黑体" w:eastAsia="黑体" w:cs="黑体"/>
              <w:color w:val="auto"/>
              <w:sz w:val="24"/>
              <w:szCs w:val="24"/>
              <w:lang w:val="en-US" w:eastAsia="zh-CN"/>
            </w:rPr>
            <w:fldChar w:fldCharType="separate"/>
          </w:r>
          <w:r>
            <w:rPr>
              <w:rFonts w:hint="eastAsia" w:ascii="黑体" w:hAnsi="黑体" w:eastAsia="黑体" w:cs="黑体"/>
              <w:color w:val="auto"/>
              <w:sz w:val="24"/>
              <w:szCs w:val="24"/>
              <w:lang w:val="en-US" w:eastAsia="zh-CN"/>
            </w:rPr>
            <w:t>18</w:t>
          </w:r>
          <w:r>
            <w:rPr>
              <w:rFonts w:hint="eastAsia" w:ascii="黑体" w:hAnsi="黑体" w:eastAsia="黑体" w:cs="黑体"/>
              <w:color w:val="auto"/>
              <w:sz w:val="24"/>
              <w:szCs w:val="24"/>
              <w:lang w:val="en-US" w:eastAsia="zh-CN"/>
            </w:rPr>
            <w:fldChar w:fldCharType="end"/>
          </w:r>
          <w:r>
            <w:rPr>
              <w:rFonts w:hint="eastAsia" w:ascii="黑体" w:hAnsi="黑体" w:eastAsia="黑体" w:cs="黑体"/>
              <w:color w:val="auto"/>
              <w:sz w:val="24"/>
              <w:szCs w:val="24"/>
              <w:lang w:val="en-US"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before="0" w:beforeLines="0" w:after="0" w:afterLines="0" w:line="360" w:lineRule="auto"/>
            <w:ind w:left="0" w:leftChars="0" w:firstLine="0" w:firstLineChars="0"/>
            <w:jc w:val="center"/>
            <w:textAlignment w:val="auto"/>
            <w:rPr>
              <w:color w:val="auto"/>
            </w:rPr>
          </w:pPr>
          <w:r>
            <w:rPr>
              <w:color w:val="auto"/>
            </w:rPr>
            <w:fldChar w:fldCharType="end"/>
          </w:r>
          <w:bookmarkStart w:id="11" w:name="_Toc12437"/>
          <w:bookmarkStart w:id="12" w:name="_Toc24141"/>
          <w:bookmarkStart w:id="13" w:name="_Toc2878"/>
        </w:p>
      </w:sdtContent>
    </w:sdt>
    <w:p>
      <w:pPr>
        <w:pStyle w:val="2"/>
        <w:pageBreakBefore w:val="0"/>
        <w:kinsoku/>
        <w:wordWrap/>
        <w:overflowPunct/>
        <w:topLinePunct w:val="0"/>
        <w:autoSpaceDE/>
        <w:autoSpaceDN/>
        <w:bidi w:val="0"/>
        <w:adjustRightInd/>
        <w:snapToGrid/>
        <w:spacing w:before="0" w:beforeLines="0" w:after="0" w:afterLines="0" w:line="560" w:lineRule="exact"/>
        <w:ind w:left="0" w:leftChars="0"/>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pageBreakBefore w:val="0"/>
        <w:tabs>
          <w:tab w:val="left" w:pos="3249"/>
          <w:tab w:val="center" w:pos="4482"/>
        </w:tabs>
        <w:kinsoku/>
        <w:wordWrap/>
        <w:overflowPunct/>
        <w:topLinePunct w:val="0"/>
        <w:autoSpaceDE/>
        <w:autoSpaceDN/>
        <w:bidi w:val="0"/>
        <w:adjustRightInd/>
        <w:snapToGrid/>
        <w:spacing w:before="0" w:beforeLines="0" w:after="0" w:afterLines="0" w:line="560" w:lineRule="exact"/>
        <w:ind w:left="0" w:leftChars="0"/>
        <w:jc w:val="left"/>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ab/>
      </w:r>
      <w:r>
        <w:rPr>
          <w:rFonts w:hint="eastAsia" w:ascii="方正小标宋简体" w:hAnsi="方正小标宋简体" w:eastAsia="方正小标宋简体" w:cs="方正小标宋简体"/>
          <w:b w:val="0"/>
          <w:bCs/>
          <w:color w:val="auto"/>
          <w:sz w:val="44"/>
          <w:szCs w:val="44"/>
          <w:lang w:val="en-US" w:eastAsia="zh-CN"/>
        </w:rPr>
        <w:tab/>
      </w:r>
    </w:p>
    <w:p>
      <w:pPr>
        <w:pStyle w:val="2"/>
        <w:pageBreakBefore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sectPr>
          <w:footerReference r:id="rId6" w:type="default"/>
          <w:footnotePr>
            <w:numFmt w:val="decimal"/>
          </w:footnotePr>
          <w:pgSz w:w="11906" w:h="16838"/>
          <w:pgMar w:top="2098" w:right="1474" w:bottom="1984" w:left="1587" w:header="851" w:footer="992" w:gutter="0"/>
          <w:pgNumType w:fmt="decimal" w:start="1"/>
          <w:cols w:space="0" w:num="1"/>
          <w:rtlGutter w:val="0"/>
          <w:docGrid w:type="lines" w:linePitch="439" w:charSpace="0"/>
        </w:sectPr>
      </w:pPr>
    </w:p>
    <w:p>
      <w:pPr>
        <w:pStyle w:val="2"/>
        <w:pageBreakBefore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bookmarkStart w:id="14" w:name="_Toc7079"/>
      <w:bookmarkStart w:id="15" w:name="_Toc6936"/>
      <w:r>
        <w:rPr>
          <w:rFonts w:hint="eastAsia" w:ascii="方正小标宋简体" w:hAnsi="方正小标宋简体" w:eastAsia="方正小标宋简体" w:cs="方正小标宋简体"/>
          <w:b w:val="0"/>
          <w:bCs/>
          <w:color w:val="auto"/>
          <w:sz w:val="44"/>
          <w:szCs w:val="44"/>
          <w:lang w:val="en-US" w:eastAsia="zh-CN"/>
        </w:rPr>
        <w:t>喀什</w:t>
      </w:r>
      <w:r>
        <w:rPr>
          <w:rFonts w:hint="default" w:ascii="Times New Roman" w:hAnsi="Times New Roman" w:eastAsia="方正小标宋简体" w:cs="Times New Roman"/>
          <w:b w:val="0"/>
          <w:bCs/>
          <w:color w:val="auto"/>
          <w:sz w:val="44"/>
          <w:szCs w:val="44"/>
          <w:lang w:val="en-US" w:eastAsia="zh-CN"/>
        </w:rPr>
        <w:t>阿瓦提</w:t>
      </w:r>
      <w:r>
        <w:rPr>
          <w:rFonts w:hint="eastAsia" w:ascii="Times New Roman" w:hAnsi="Times New Roman" w:eastAsia="方正小标宋简体" w:cs="Times New Roman"/>
          <w:b w:val="0"/>
          <w:bCs/>
          <w:color w:val="auto"/>
          <w:sz w:val="44"/>
          <w:szCs w:val="44"/>
          <w:lang w:val="en-US" w:eastAsia="zh-CN"/>
        </w:rPr>
        <w:t>“</w:t>
      </w:r>
      <w:r>
        <w:rPr>
          <w:rFonts w:hint="default" w:ascii="Times New Roman" w:hAnsi="Times New Roman" w:eastAsia="方正小标宋简体" w:cs="Times New Roman"/>
          <w:b w:val="0"/>
          <w:bCs/>
          <w:color w:val="auto"/>
          <w:sz w:val="44"/>
          <w:szCs w:val="44"/>
          <w:lang w:val="en-US" w:eastAsia="zh-CN"/>
        </w:rPr>
        <w:t>4</w:t>
      </w:r>
      <w:r>
        <w:rPr>
          <w:rFonts w:hint="eastAsia" w:ascii="Times New Roman" w:hAnsi="Times New Roman" w:eastAsia="方正小标宋简体" w:cs="Times New Roman"/>
          <w:b w:val="0"/>
          <w:bCs/>
          <w:color w:val="auto"/>
          <w:sz w:val="44"/>
          <w:szCs w:val="44"/>
          <w:lang w:val="en-US" w:eastAsia="zh-CN"/>
        </w:rPr>
        <w:t>·</w:t>
      </w:r>
      <w:r>
        <w:rPr>
          <w:rFonts w:hint="default" w:ascii="Times New Roman" w:hAnsi="Times New Roman" w:eastAsia="方正小标宋简体" w:cs="Times New Roman"/>
          <w:b w:val="0"/>
          <w:bCs/>
          <w:color w:val="auto"/>
          <w:sz w:val="44"/>
          <w:szCs w:val="44"/>
          <w:lang w:val="en-US" w:eastAsia="zh-CN"/>
        </w:rPr>
        <w:t>6</w:t>
      </w:r>
      <w:r>
        <w:rPr>
          <w:rFonts w:hint="eastAsia" w:ascii="Times New Roman" w:hAnsi="Times New Roman" w:eastAsia="方正小标宋简体" w:cs="Times New Roman"/>
          <w:b w:val="0"/>
          <w:bCs/>
          <w:color w:val="auto"/>
          <w:sz w:val="44"/>
          <w:szCs w:val="44"/>
          <w:lang w:val="en-US" w:eastAsia="zh-CN"/>
        </w:rPr>
        <w:t>”</w:t>
      </w:r>
      <w:r>
        <w:rPr>
          <w:rFonts w:hint="default" w:ascii="Times New Roman" w:hAnsi="Times New Roman" w:eastAsia="方正小标宋简体" w:cs="Times New Roman"/>
          <w:b w:val="0"/>
          <w:bCs/>
          <w:color w:val="auto"/>
          <w:sz w:val="44"/>
          <w:szCs w:val="44"/>
          <w:lang w:val="en-US" w:eastAsia="zh-CN"/>
        </w:rPr>
        <w:t>一般车辆</w:t>
      </w:r>
      <w:bookmarkEnd w:id="11"/>
      <w:bookmarkEnd w:id="12"/>
      <w:bookmarkEnd w:id="13"/>
      <w:bookmarkStart w:id="16" w:name="_Toc25487"/>
      <w:bookmarkStart w:id="17" w:name="_Toc31637"/>
      <w:bookmarkStart w:id="18" w:name="_Toc10958"/>
      <w:r>
        <w:rPr>
          <w:rFonts w:hint="eastAsia" w:ascii="方正小标宋简体" w:hAnsi="方正小标宋简体" w:eastAsia="方正小标宋简体" w:cs="方正小标宋简体"/>
          <w:b w:val="0"/>
          <w:bCs/>
          <w:color w:val="auto"/>
          <w:sz w:val="44"/>
          <w:szCs w:val="44"/>
          <w:lang w:val="en-US" w:eastAsia="zh-CN"/>
        </w:rPr>
        <w:t>伤害瞒报</w:t>
      </w:r>
      <w:bookmarkEnd w:id="14"/>
      <w:bookmarkEnd w:id="15"/>
    </w:p>
    <w:p>
      <w:pPr>
        <w:pStyle w:val="2"/>
        <w:pageBreakBefore w:val="0"/>
        <w:kinsoku/>
        <w:wordWrap/>
        <w:overflowPunct/>
        <w:topLinePunct w:val="0"/>
        <w:autoSpaceDE/>
        <w:autoSpaceDN/>
        <w:bidi w:val="0"/>
        <w:adjustRightInd/>
        <w:snapToGrid/>
        <w:spacing w:before="0" w:beforeLines="0" w:after="0" w:afterLines="0"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bookmarkStart w:id="19" w:name="_Toc14945"/>
      <w:bookmarkStart w:id="20" w:name="_Toc16005"/>
      <w:r>
        <w:rPr>
          <w:rFonts w:hint="eastAsia" w:ascii="方正小标宋简体" w:hAnsi="方正小标宋简体" w:eastAsia="方正小标宋简体" w:cs="方正小标宋简体"/>
          <w:b w:val="0"/>
          <w:bCs/>
          <w:color w:val="auto"/>
          <w:sz w:val="44"/>
          <w:szCs w:val="44"/>
          <w:lang w:val="en-US" w:eastAsia="zh-CN"/>
        </w:rPr>
        <w:t>事故调查报告</w:t>
      </w:r>
      <w:bookmarkEnd w:id="16"/>
      <w:bookmarkEnd w:id="17"/>
      <w:bookmarkEnd w:id="18"/>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2024年4月6日14时10分许，喀什市阿瓦提乡8村下水道维修项目施工过程中发生一起一般车辆伤害事故，造成1名施工人员受伤。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2024年6月12日</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喀什地区安全生产委员会办公室下发《关于对喀什市阿瓦提乡</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4·6</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车辆伤害事故挂牌督办的通知》（喀安委办督函〔2024〕51号），要求喀什市立即成立事故调查组，组织开展事故调查。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喀什市人民政府依据《中华人民共和国安全生产法》、《生产安全事故报告和调查处理条例》（国务院令第493号）、《新疆维吾尔自治区生产安全事故报告和调查处理实施办法》有关规定，成立了由市人民相关领导为组长，市应急管理局相关领导为副组长，市</w:t>
      </w:r>
      <w:r>
        <w:rPr>
          <w:rFonts w:hint="default" w:ascii="Times New Roman" w:hAnsi="Times New Roman" w:eastAsia="仿宋_GB2312" w:cs="Times New Roman"/>
          <w:color w:val="auto"/>
          <w:sz w:val="32"/>
          <w:szCs w:val="32"/>
          <w:shd w:val="clear" w:color="auto" w:fill="FFFFFF"/>
          <w:lang w:val="en-US" w:eastAsia="zh-CN"/>
        </w:rPr>
        <w:t>纪委监委</w:t>
      </w:r>
      <w:r>
        <w:rPr>
          <w:rFonts w:hint="eastAsia" w:ascii="Times New Roman" w:hAnsi="Times New Roman" w:eastAsia="仿宋_GB2312" w:cs="Times New Roman"/>
          <w:color w:val="auto"/>
          <w:sz w:val="32"/>
          <w:szCs w:val="32"/>
          <w:shd w:val="clear" w:color="auto" w:fill="FFFFFF"/>
          <w:lang w:val="en-US" w:eastAsia="zh-CN"/>
        </w:rPr>
        <w:t>、住建局、公安局、</w:t>
      </w:r>
      <w:r>
        <w:rPr>
          <w:rFonts w:hint="default" w:ascii="Times New Roman" w:hAnsi="Times New Roman" w:eastAsia="仿宋_GB2312" w:cs="Times New Roman"/>
          <w:color w:val="auto"/>
          <w:sz w:val="32"/>
          <w:szCs w:val="32"/>
          <w:shd w:val="clear" w:color="auto" w:fill="FFFFFF"/>
          <w:lang w:val="en-US" w:eastAsia="zh-CN"/>
        </w:rPr>
        <w:t>总工会、人社局、</w:t>
      </w:r>
      <w:r>
        <w:rPr>
          <w:rFonts w:hint="eastAsia" w:ascii="Times New Roman" w:hAnsi="Times New Roman" w:eastAsia="仿宋_GB2312" w:cs="Times New Roman"/>
          <w:color w:val="auto"/>
          <w:sz w:val="32"/>
          <w:szCs w:val="32"/>
          <w:shd w:val="clear" w:color="auto" w:fill="FFFFFF"/>
          <w:lang w:val="en-US" w:eastAsia="zh-CN"/>
        </w:rPr>
        <w:t>农业农村局等相关职能部门组成的喀什市阿瓦提乡“4·6”一般车辆伤害伤人事故调查组，对该起事故进行调查，并邀请市人民检察院派员参加。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事故调查组按照“四不放过”和“科学严谨、依法依规、实事求是、注重实效”的原则，通过现场勘验、技术鉴定、调查取证和综合分析，查明了事故发生的经过、原因、人员伤亡和直接经济损失情况，认定了事故性质和责任，提出了对有关责任人和责任单位的处理建议，并针对事故原因及暴露出的突出问题，提出了防范措施建议。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color w:val="auto"/>
        </w:rPr>
      </w:pPr>
      <w:r>
        <w:rPr>
          <w:rFonts w:hint="eastAsia" w:ascii="Times New Roman" w:hAnsi="Times New Roman" w:eastAsia="仿宋_GB2312" w:cs="Times New Roman"/>
          <w:color w:val="auto"/>
          <w:sz w:val="32"/>
          <w:szCs w:val="32"/>
          <w:shd w:val="clear" w:color="auto" w:fill="FFFFFF"/>
          <w:lang w:val="en-US" w:eastAsia="zh-CN"/>
        </w:rPr>
        <w:t xml:space="preserve">经调查认定，喀什阿瓦提“4·6”一般车辆伤害事故是一起因现场安全监管不到位，挖掘机驾驶员未取得大型工程机械设备操作证造成的生产安全责任瞒报事故。   </w:t>
      </w:r>
      <w:r>
        <w:rPr>
          <w:rFonts w:hint="eastAsia" w:ascii="仿宋_GB2312" w:hAnsi="仿宋_GB2312" w:eastAsia="仿宋_GB2312" w:cs="仿宋_GB2312"/>
          <w:color w:val="auto"/>
          <w:szCs w:val="32"/>
          <w:shd w:val="clear" w:color="auto" w:fill="FFFFFF"/>
          <w:lang w:val="en-US" w:eastAsia="zh-CN"/>
        </w:rPr>
        <w:t xml:space="preserve"> </w:t>
      </w:r>
      <w:bookmarkStart w:id="21" w:name="_Toc26018"/>
      <w:bookmarkStart w:id="22" w:name="_Toc23696"/>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0" w:firstLineChars="200"/>
        <w:textAlignment w:val="auto"/>
        <w:outlineLvl w:val="0"/>
        <w:rPr>
          <w:rFonts w:hint="eastAsia" w:ascii="黑体" w:hAnsi="黑体" w:eastAsia="黑体" w:cs="黑体"/>
          <w:b w:val="0"/>
          <w:bCs/>
          <w:color w:val="auto"/>
          <w:lang w:val="en-US" w:eastAsia="zh-CN"/>
        </w:rPr>
      </w:pPr>
      <w:bookmarkStart w:id="23" w:name="_Toc21536"/>
      <w:bookmarkStart w:id="24" w:name="_Toc3237"/>
      <w:bookmarkStart w:id="25" w:name="_Toc18625"/>
      <w:r>
        <w:rPr>
          <w:rFonts w:hint="eastAsia" w:ascii="黑体" w:hAnsi="黑体" w:eastAsia="黑体" w:cs="黑体"/>
          <w:b w:val="0"/>
          <w:bCs/>
          <w:color w:val="auto"/>
          <w:lang w:val="en-US" w:eastAsia="zh-CN"/>
        </w:rPr>
        <w:t>事故基本情况</w:t>
      </w:r>
      <w:bookmarkEnd w:id="21"/>
      <w:bookmarkEnd w:id="22"/>
      <w:bookmarkEnd w:id="23"/>
      <w:bookmarkEnd w:id="24"/>
      <w:bookmarkEnd w:id="25"/>
    </w:p>
    <w:p>
      <w:pPr>
        <w:pStyle w:val="4"/>
        <w:pageBreakBefore w:val="0"/>
        <w:numPr>
          <w:ilvl w:val="0"/>
          <w:numId w:val="2"/>
        </w:numPr>
        <w:kinsoku/>
        <w:wordWrap/>
        <w:overflowPunct/>
        <w:topLinePunct w:val="0"/>
        <w:autoSpaceDE/>
        <w:autoSpaceDN/>
        <w:bidi w:val="0"/>
        <w:adjustRightInd/>
        <w:snapToGrid/>
        <w:spacing w:line="560" w:lineRule="exact"/>
        <w:ind w:left="640" w:leftChars="0" w:firstLineChars="0"/>
        <w:textAlignment w:val="auto"/>
        <w:outlineLvl w:val="1"/>
        <w:rPr>
          <w:rFonts w:hint="eastAsia" w:ascii="楷体" w:hAnsi="楷体" w:eastAsia="楷体" w:cs="楷体"/>
          <w:color w:val="auto"/>
          <w:lang w:val="en-US" w:eastAsia="zh-CN"/>
        </w:rPr>
      </w:pPr>
      <w:bookmarkStart w:id="26" w:name="_Toc29180"/>
      <w:bookmarkStart w:id="27" w:name="_Toc3435"/>
      <w:bookmarkStart w:id="28" w:name="_Toc32568"/>
      <w:bookmarkStart w:id="29" w:name="_Toc15768"/>
      <w:bookmarkStart w:id="30" w:name="_Toc22239"/>
      <w:bookmarkStart w:id="31" w:name="_Toc7758"/>
      <w:bookmarkStart w:id="32" w:name="_Toc464"/>
      <w:bookmarkStart w:id="33" w:name="_Toc32535"/>
      <w:r>
        <w:rPr>
          <w:rFonts w:hint="eastAsia" w:ascii="楷体" w:hAnsi="楷体" w:eastAsia="楷体" w:cs="楷体"/>
          <w:color w:val="auto"/>
          <w:lang w:val="en-US" w:eastAsia="zh-CN"/>
        </w:rPr>
        <w:t>事故发生单位及相关单位概况</w:t>
      </w:r>
      <w:bookmarkEnd w:id="26"/>
      <w:bookmarkEnd w:id="27"/>
      <w:bookmarkEnd w:id="28"/>
      <w:bookmarkEnd w:id="29"/>
      <w:bookmarkEnd w:id="30"/>
      <w:bookmarkEnd w:id="31"/>
      <w:bookmarkEnd w:id="32"/>
      <w:bookmarkEnd w:id="33"/>
      <w:bookmarkStart w:id="34" w:name="_Toc24812"/>
      <w:bookmarkStart w:id="35" w:name="_Toc16700"/>
      <w:bookmarkStart w:id="36" w:name="_Toc19897"/>
      <w:bookmarkStart w:id="37" w:name="_Toc22900"/>
      <w:bookmarkStart w:id="38" w:name="_Toc9576"/>
      <w:bookmarkStart w:id="39" w:name="_Toc28840"/>
      <w:bookmarkStart w:id="40" w:name="_Toc13397"/>
      <w:bookmarkStart w:id="41" w:name="_Toc32204"/>
      <w:bookmarkStart w:id="42" w:name="_Toc24980"/>
      <w:bookmarkStart w:id="43" w:name="_Toc22292"/>
      <w:bookmarkStart w:id="44" w:name="_Toc28308"/>
      <w:bookmarkStart w:id="45" w:name="_Toc10287"/>
      <w:bookmarkStart w:id="46" w:name="_Toc3826"/>
      <w:bookmarkStart w:id="47" w:name="_Toc12513"/>
      <w:bookmarkStart w:id="48" w:name="_Toc29819"/>
      <w:bookmarkStart w:id="49" w:name="_Toc19631"/>
      <w:bookmarkStart w:id="50" w:name="_Toc11981"/>
    </w:p>
    <w:p>
      <w:pPr>
        <w:pStyle w:val="5"/>
        <w:pageBreakBefore w:val="0"/>
        <w:kinsoku/>
        <w:wordWrap/>
        <w:overflowPunct/>
        <w:topLinePunct w:val="0"/>
        <w:autoSpaceDE/>
        <w:autoSpaceDN/>
        <w:bidi w:val="0"/>
        <w:adjustRightInd/>
        <w:snapToGrid/>
        <w:spacing w:before="0" w:beforeLines="0" w:after="0" w:afterLines="0" w:line="560" w:lineRule="exact"/>
        <w:ind w:left="0" w:firstLine="643" w:firstLineChars="200"/>
        <w:textAlignment w:val="auto"/>
        <w:outlineLvl w:val="2"/>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1.建设单位基本情况</w:t>
      </w:r>
      <w:bookmarkEnd w:id="34"/>
      <w:bookmarkEnd w:id="35"/>
      <w:bookmarkEnd w:id="36"/>
      <w:bookmarkEnd w:id="37"/>
      <w:bookmarkEnd w:id="38"/>
      <w:bookmarkEnd w:id="39"/>
      <w:bookmarkEnd w:id="40"/>
      <w:bookmarkEnd w:id="41"/>
      <w:bookmarkEnd w:id="42"/>
      <w:bookmarkEnd w:id="43"/>
      <w:bookmarkEnd w:id="44"/>
      <w:bookmarkStart w:id="51" w:name="_Toc24462"/>
      <w:bookmarkStart w:id="52" w:name="_Toc3905"/>
      <w:bookmarkStart w:id="53" w:name="_Toc4783"/>
      <w:bookmarkStart w:id="54" w:name="_Toc20928"/>
      <w:bookmarkStart w:id="55" w:name="_Toc23134"/>
      <w:bookmarkStart w:id="56" w:name="_Toc20354"/>
      <w:bookmarkStart w:id="57" w:name="_Toc16132"/>
      <w:bookmarkStart w:id="58" w:name="_Toc3001"/>
      <w:bookmarkStart w:id="59" w:name="_Toc30888"/>
      <w:bookmarkStart w:id="60" w:name="_Toc8220"/>
      <w:bookmarkStart w:id="61" w:name="_Toc224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喀什市</w:t>
      </w:r>
      <w:r>
        <w:rPr>
          <w:rFonts w:hint="eastAsia" w:ascii="Times New Roman" w:hAnsi="Times New Roman" w:eastAsia="仿宋_GB2312" w:cs="Times New Roman"/>
          <w:color w:val="auto"/>
          <w:sz w:val="32"/>
          <w:szCs w:val="32"/>
          <w:shd w:val="clear" w:color="auto" w:fill="FFFFFF"/>
          <w:lang w:val="en-US" w:eastAsia="zh-CN"/>
        </w:rPr>
        <w:t>阿瓦提乡阿萨村村民委员会，位于喀什市阿瓦提乡阿萨村4组115号，村委会核定编制8人，领导职数1名，即党支部书记兼村委会主任艾X。</w:t>
      </w:r>
    </w:p>
    <w:bookmarkEnd w:id="51"/>
    <w:bookmarkEnd w:id="52"/>
    <w:bookmarkEnd w:id="53"/>
    <w:bookmarkEnd w:id="54"/>
    <w:bookmarkEnd w:id="55"/>
    <w:bookmarkEnd w:id="56"/>
    <w:bookmarkEnd w:id="57"/>
    <w:bookmarkEnd w:id="58"/>
    <w:bookmarkEnd w:id="59"/>
    <w:bookmarkEnd w:id="60"/>
    <w:bookmarkEnd w:id="61"/>
    <w:p>
      <w:pPr>
        <w:pStyle w:val="5"/>
        <w:pageBreakBefore w:val="0"/>
        <w:kinsoku/>
        <w:wordWrap/>
        <w:overflowPunct/>
        <w:topLinePunct w:val="0"/>
        <w:autoSpaceDE/>
        <w:autoSpaceDN/>
        <w:bidi w:val="0"/>
        <w:adjustRightInd/>
        <w:snapToGrid/>
        <w:spacing w:before="0" w:beforeLines="0" w:after="0" w:afterLines="0" w:line="560" w:lineRule="exact"/>
        <w:ind w:left="0" w:firstLine="643" w:firstLineChars="200"/>
        <w:textAlignment w:val="auto"/>
        <w:outlineLvl w:val="2"/>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2.施工单位基本情况</w:t>
      </w:r>
      <w:bookmarkEnd w:id="45"/>
      <w:bookmarkEnd w:id="46"/>
      <w:bookmarkEnd w:id="47"/>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bookmarkStart w:id="62" w:name="_Toc29072"/>
      <w:bookmarkStart w:id="63" w:name="_Toc12137"/>
      <w:bookmarkStart w:id="64" w:name="_Toc6617"/>
      <w:bookmarkStart w:id="65" w:name="_Toc14066"/>
      <w:bookmarkStart w:id="66" w:name="_Toc25062"/>
      <w:bookmarkStart w:id="67" w:name="_Toc5576"/>
      <w:r>
        <w:rPr>
          <w:rFonts w:hint="eastAsia" w:ascii="Times New Roman" w:hAnsi="Times New Roman" w:eastAsia="仿宋_GB2312" w:cs="Times New Roman"/>
          <w:color w:val="auto"/>
          <w:sz w:val="32"/>
          <w:szCs w:val="32"/>
          <w:shd w:val="clear" w:color="auto" w:fill="FFFFFF"/>
          <w:lang w:val="en-US" w:eastAsia="zh-CN"/>
        </w:rPr>
        <w:t>喀什市一峰装饰装潢工程店（个体工商户），统一社会信用代码：92653101MACN******，注册时间：2023年6月20日，经营者：王X，注册地址：新疆喀什地区喀什市浩罕乡库恰比西（3村）香妃园停车场&lt;二楼&gt;</w:t>
      </w:r>
      <w:bookmarkEnd w:id="62"/>
      <w:bookmarkEnd w:id="63"/>
      <w:bookmarkEnd w:id="64"/>
      <w:bookmarkEnd w:id="65"/>
      <w:bookmarkEnd w:id="66"/>
      <w:bookmarkEnd w:id="67"/>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经营范围的许可项目为</w:t>
      </w:r>
      <w:r>
        <w:rPr>
          <w:rFonts w:hint="eastAsia" w:ascii="Times New Roman" w:hAnsi="Times New Roman" w:eastAsia="仿宋_GB2312" w:cs="Times New Roman"/>
          <w:color w:val="auto"/>
          <w:sz w:val="32"/>
          <w:szCs w:val="32"/>
          <w:shd w:val="clear" w:color="auto" w:fill="FFFFFF"/>
          <w:lang w:val="en-US" w:eastAsia="zh-CN"/>
        </w:rPr>
        <w:t>城乡市容管理</w:t>
      </w:r>
      <w:r>
        <w:rPr>
          <w:rFonts w:hint="default" w:ascii="Times New Roman" w:hAnsi="Times New Roman" w:eastAsia="仿宋_GB2312" w:cs="Times New Roman"/>
          <w:color w:val="auto"/>
          <w:sz w:val="32"/>
          <w:szCs w:val="32"/>
          <w:shd w:val="clear" w:color="auto" w:fill="FFFFFF"/>
          <w:lang w:val="en-US" w:eastAsia="zh-CN"/>
        </w:rPr>
        <w:t>。一般项目为</w:t>
      </w:r>
      <w:r>
        <w:rPr>
          <w:rFonts w:hint="eastAsia" w:ascii="Times New Roman" w:hAnsi="Times New Roman" w:eastAsia="仿宋_GB2312" w:cs="Times New Roman"/>
          <w:color w:val="auto"/>
          <w:sz w:val="32"/>
          <w:szCs w:val="32"/>
          <w:shd w:val="clear" w:color="auto" w:fill="FFFFFF"/>
          <w:lang w:val="en-US" w:eastAsia="zh-CN"/>
        </w:rPr>
        <w:t>建筑材料销售</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建筑装饰材料销售</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建筑用石加工</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密封用填料销售</w:t>
      </w:r>
      <w:r>
        <w:rPr>
          <w:rFonts w:hint="default" w:ascii="Times New Roman" w:hAnsi="Times New Roman" w:eastAsia="仿宋_GB2312" w:cs="Times New Roman"/>
          <w:color w:val="auto"/>
          <w:sz w:val="32"/>
          <w:szCs w:val="32"/>
          <w:shd w:val="clear" w:color="auto" w:fill="FFFFFF"/>
          <w:lang w:val="en-US" w:eastAsia="zh-CN"/>
        </w:rPr>
        <w:t>；（除依法须经批准的项目外，凭营业执照依法自主开展经营活动）</w:t>
      </w:r>
      <w:r>
        <w:rPr>
          <w:rFonts w:hint="eastAsia" w:ascii="Times New Roman" w:hAnsi="Times New Roman" w:eastAsia="仿宋_GB2312" w:cs="Times New Roman"/>
          <w:color w:val="auto"/>
          <w:sz w:val="32"/>
          <w:szCs w:val="32"/>
          <w:shd w:val="clear" w:color="auto" w:fill="FFFFFF"/>
          <w:lang w:val="en-US" w:eastAsia="zh-CN"/>
        </w:rPr>
        <w:t>。</w:t>
      </w:r>
    </w:p>
    <w:p>
      <w:pPr>
        <w:pStyle w:val="5"/>
        <w:pageBreakBefore w:val="0"/>
        <w:kinsoku/>
        <w:wordWrap/>
        <w:overflowPunct/>
        <w:topLinePunct w:val="0"/>
        <w:autoSpaceDE/>
        <w:autoSpaceDN/>
        <w:bidi w:val="0"/>
        <w:adjustRightInd/>
        <w:snapToGrid/>
        <w:spacing w:before="0" w:beforeLines="0" w:after="0" w:afterLines="0" w:line="560" w:lineRule="exact"/>
        <w:ind w:left="0" w:firstLine="643" w:firstLineChars="200"/>
        <w:textAlignment w:val="auto"/>
        <w:outlineLvl w:val="2"/>
        <w:rPr>
          <w:rFonts w:hint="eastAsia" w:ascii="仿宋_GB2312" w:hAnsi="仿宋_GB2312" w:eastAsia="仿宋_GB2312" w:cs="仿宋_GB2312"/>
          <w:color w:val="auto"/>
          <w:lang w:val="en-US" w:eastAsia="zh-CN"/>
        </w:rPr>
      </w:pPr>
      <w:bookmarkStart w:id="68" w:name="_Toc27271"/>
      <w:bookmarkStart w:id="69" w:name="_Toc26205"/>
      <w:bookmarkStart w:id="70" w:name="_Toc10889"/>
      <w:bookmarkStart w:id="71" w:name="_Toc1551"/>
      <w:bookmarkStart w:id="72" w:name="_Toc27486"/>
      <w:bookmarkStart w:id="73" w:name="_Toc20317"/>
      <w:r>
        <w:rPr>
          <w:rFonts w:hint="eastAsia" w:ascii="仿宋_GB2312" w:hAnsi="仿宋_GB2312" w:eastAsia="仿宋_GB2312" w:cs="仿宋_GB2312"/>
          <w:color w:val="auto"/>
          <w:lang w:val="en-US" w:eastAsia="zh-CN"/>
        </w:rPr>
        <w:t>3.</w:t>
      </w:r>
      <w:bookmarkEnd w:id="68"/>
      <w:bookmarkEnd w:id="69"/>
      <w:bookmarkEnd w:id="70"/>
      <w:bookmarkEnd w:id="71"/>
      <w:bookmarkEnd w:id="72"/>
      <w:bookmarkEnd w:id="73"/>
      <w:r>
        <w:rPr>
          <w:rFonts w:hint="eastAsia" w:ascii="仿宋_GB2312" w:hAnsi="仿宋_GB2312" w:eastAsia="仿宋_GB2312" w:cs="仿宋_GB2312"/>
          <w:color w:val="auto"/>
          <w:lang w:val="en-US" w:eastAsia="zh-CN"/>
        </w:rPr>
        <w:t>事故发生标段劳务分包情况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吴X</w:t>
      </w:r>
      <w:r>
        <w:rPr>
          <w:rFonts w:hint="default" w:ascii="Times New Roman" w:hAnsi="Times New Roman" w:eastAsia="仿宋_GB2312" w:cs="Times New Roman"/>
          <w:color w:val="auto"/>
          <w:sz w:val="32"/>
          <w:szCs w:val="32"/>
          <w:shd w:val="clear" w:color="auto" w:fill="FFFFFF"/>
          <w:lang w:val="en-US" w:eastAsia="zh-CN"/>
        </w:rPr>
        <w:t>，男，汉族，身份证号：</w:t>
      </w:r>
      <w:r>
        <w:rPr>
          <w:rFonts w:hint="eastAsia" w:ascii="Times New Roman" w:hAnsi="Times New Roman" w:eastAsia="仿宋_GB2312" w:cs="Times New Roman"/>
          <w:color w:val="auto"/>
          <w:sz w:val="32"/>
          <w:szCs w:val="32"/>
          <w:shd w:val="clear" w:color="auto" w:fill="FFFFFF"/>
          <w:lang w:val="en-US" w:eastAsia="zh-CN"/>
        </w:rPr>
        <w:t>512222197202******</w:t>
      </w:r>
      <w:r>
        <w:rPr>
          <w:rFonts w:hint="default" w:ascii="Times New Roman" w:hAnsi="Times New Roman" w:eastAsia="仿宋_GB2312" w:cs="Times New Roman"/>
          <w:color w:val="auto"/>
          <w:sz w:val="32"/>
          <w:szCs w:val="32"/>
          <w:shd w:val="clear" w:color="auto" w:fill="FFFFFF"/>
          <w:lang w:val="en-US" w:eastAsia="zh-CN"/>
        </w:rPr>
        <w:t>，群众，无注册单位。</w:t>
      </w:r>
      <w:r>
        <w:rPr>
          <w:rFonts w:hint="eastAsia" w:ascii="Times New Roman" w:hAnsi="Times New Roman" w:eastAsia="仿宋_GB2312" w:cs="Times New Roman"/>
          <w:color w:val="auto"/>
          <w:sz w:val="32"/>
          <w:szCs w:val="32"/>
          <w:shd w:val="clear" w:color="auto" w:fill="FFFFFF"/>
          <w:lang w:val="en-US" w:eastAsia="zh-CN"/>
        </w:rPr>
        <w:t>吴X于2024年3月28日同喀什市一峰装饰装潢工程店签订合同，承包喀什市阿瓦提乡8村修复下水道工程，按照喀什市一峰装饰装潢工程店要求负责30米土方清理直至管道疏通为止，不包含回填及运输土方。2024年3月29日起临时雇佣农民工开始施工。</w:t>
      </w:r>
    </w:p>
    <w:p>
      <w:pPr>
        <w:pStyle w:val="4"/>
        <w:pageBreakBefore w:val="0"/>
        <w:numPr>
          <w:ilvl w:val="0"/>
          <w:numId w:val="2"/>
        </w:numPr>
        <w:kinsoku/>
        <w:wordWrap/>
        <w:overflowPunct/>
        <w:topLinePunct w:val="0"/>
        <w:autoSpaceDE/>
        <w:autoSpaceDN/>
        <w:bidi w:val="0"/>
        <w:adjustRightInd/>
        <w:snapToGrid/>
        <w:spacing w:line="560" w:lineRule="exact"/>
        <w:ind w:left="640" w:leftChars="0" w:firstLineChars="0"/>
        <w:textAlignment w:val="auto"/>
        <w:outlineLvl w:val="1"/>
        <w:rPr>
          <w:rFonts w:hint="eastAsia" w:ascii="楷体" w:hAnsi="楷体" w:eastAsia="楷体" w:cs="楷体"/>
          <w:color w:val="auto"/>
          <w:lang w:val="en-US" w:eastAsia="zh-CN"/>
        </w:rPr>
      </w:pPr>
      <w:bookmarkStart w:id="74" w:name="_Toc30337"/>
      <w:bookmarkStart w:id="75" w:name="_Toc10863"/>
      <w:bookmarkStart w:id="76" w:name="_Toc27784"/>
      <w:bookmarkStart w:id="77" w:name="_Toc25817"/>
      <w:bookmarkStart w:id="78" w:name="_Toc4732"/>
      <w:bookmarkStart w:id="79" w:name="_Toc17536"/>
      <w:r>
        <w:rPr>
          <w:rFonts w:hint="eastAsia" w:ascii="楷体" w:hAnsi="楷体" w:eastAsia="楷体" w:cs="楷体"/>
          <w:color w:val="auto"/>
          <w:lang w:val="en-US" w:eastAsia="zh-CN"/>
        </w:rPr>
        <w:t>建设项目概况</w:t>
      </w:r>
      <w:bookmarkEnd w:id="74"/>
      <w:bookmarkEnd w:id="75"/>
      <w:bookmarkEnd w:id="76"/>
      <w:bookmarkEnd w:id="77"/>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喀什市阿瓦提乡阿萨村下水管网塌方维修，建设单位为</w:t>
      </w:r>
      <w:r>
        <w:rPr>
          <w:rFonts w:hint="default" w:ascii="Times New Roman" w:hAnsi="Times New Roman" w:eastAsia="仿宋_GB2312" w:cs="Times New Roman"/>
          <w:color w:val="auto"/>
          <w:sz w:val="32"/>
          <w:szCs w:val="32"/>
          <w:shd w:val="clear" w:color="auto" w:fill="FFFFFF"/>
          <w:lang w:val="en-US" w:eastAsia="zh-CN"/>
        </w:rPr>
        <w:t>喀什市</w:t>
      </w:r>
      <w:r>
        <w:rPr>
          <w:rFonts w:hint="eastAsia" w:ascii="Times New Roman" w:hAnsi="Times New Roman" w:eastAsia="仿宋_GB2312" w:cs="Times New Roman"/>
          <w:color w:val="auto"/>
          <w:sz w:val="32"/>
          <w:szCs w:val="32"/>
          <w:shd w:val="clear" w:color="auto" w:fill="FFFFFF"/>
          <w:lang w:val="en-US" w:eastAsia="zh-CN"/>
        </w:rPr>
        <w:t>阿瓦提乡阿萨村村民委员会、工程承包施工单位为喀什市一峰装饰装潢工程店；工程地点是喀什市阿瓦提乡阿萨村村民委员会对面，工程施工内容为喀什市阿瓦提乡阿萨村下水管网塌方维修，恢复管网通水排污，路面平整，合同价款为65000元整（陆万伍仟元整），项目资金来源为喀什市阿瓦提乡阿萨村村民委员会经费。经调查了解，事故发生标段原承包方为喀什市一峰装饰装潢工程店，在工程施工过程中，喀什市一峰装饰装潢工程店于2024年3月28日与个人吴X签订施工合同，将喀什市阿瓦提乡阿萨村下水管网塌方维修土方清理直至管道疏通部分分包给吴X，并</w:t>
      </w:r>
      <w:r>
        <w:rPr>
          <w:rFonts w:hint="default" w:ascii="Times New Roman" w:hAnsi="Times New Roman" w:eastAsia="仿宋_GB2312" w:cs="Times New Roman"/>
          <w:color w:val="auto"/>
          <w:sz w:val="32"/>
          <w:szCs w:val="32"/>
          <w:shd w:val="clear" w:color="auto" w:fill="FFFFFF"/>
          <w:lang w:val="en-US" w:eastAsia="zh-CN"/>
        </w:rPr>
        <w:t>签约合同价</w:t>
      </w:r>
      <w:r>
        <w:rPr>
          <w:rFonts w:hint="eastAsia" w:ascii="Times New Roman" w:hAnsi="Times New Roman" w:eastAsia="仿宋_GB2312" w:cs="Times New Roman"/>
          <w:color w:val="auto"/>
          <w:sz w:val="32"/>
          <w:szCs w:val="32"/>
          <w:shd w:val="clear" w:color="auto" w:fill="FFFFFF"/>
          <w:lang w:val="en-US" w:eastAsia="zh-CN"/>
        </w:rPr>
        <w:t>款38000</w:t>
      </w:r>
      <w:r>
        <w:rPr>
          <w:rFonts w:hint="default" w:ascii="Times New Roman" w:hAnsi="Times New Roman" w:eastAsia="仿宋_GB2312" w:cs="Times New Roman"/>
          <w:color w:val="auto"/>
          <w:sz w:val="32"/>
          <w:szCs w:val="32"/>
          <w:shd w:val="clear" w:color="auto" w:fill="FFFFFF"/>
          <w:lang w:val="en-US" w:eastAsia="zh-CN"/>
        </w:rPr>
        <w:t>元（</w:t>
      </w:r>
      <w:r>
        <w:rPr>
          <w:rFonts w:hint="eastAsia" w:ascii="Times New Roman" w:hAnsi="Times New Roman" w:eastAsia="仿宋_GB2312" w:cs="Times New Roman"/>
          <w:color w:val="auto"/>
          <w:sz w:val="32"/>
          <w:szCs w:val="32"/>
          <w:shd w:val="clear" w:color="auto" w:fill="FFFFFF"/>
          <w:lang w:val="en-US" w:eastAsia="zh-CN"/>
        </w:rPr>
        <w:t>叁</w:t>
      </w:r>
      <w:r>
        <w:rPr>
          <w:rFonts w:hint="default" w:ascii="Times New Roman" w:hAnsi="Times New Roman" w:eastAsia="仿宋_GB2312" w:cs="Times New Roman"/>
          <w:color w:val="auto"/>
          <w:sz w:val="32"/>
          <w:szCs w:val="32"/>
          <w:shd w:val="clear" w:color="auto" w:fill="FFFFFF"/>
          <w:lang w:val="en-US" w:eastAsia="zh-CN"/>
        </w:rPr>
        <w:t>万</w:t>
      </w:r>
      <w:r>
        <w:rPr>
          <w:rFonts w:hint="eastAsia" w:ascii="Times New Roman" w:hAnsi="Times New Roman" w:eastAsia="仿宋_GB2312" w:cs="Times New Roman"/>
          <w:color w:val="auto"/>
          <w:sz w:val="32"/>
          <w:szCs w:val="32"/>
          <w:shd w:val="clear" w:color="auto" w:fill="FFFFFF"/>
          <w:lang w:val="en-US" w:eastAsia="zh-CN"/>
        </w:rPr>
        <w:t>捌</w:t>
      </w:r>
      <w:r>
        <w:rPr>
          <w:rFonts w:hint="default" w:ascii="Times New Roman" w:hAnsi="Times New Roman" w:eastAsia="仿宋_GB2312" w:cs="Times New Roman"/>
          <w:color w:val="auto"/>
          <w:sz w:val="32"/>
          <w:szCs w:val="32"/>
          <w:shd w:val="clear" w:color="auto" w:fill="FFFFFF"/>
          <w:lang w:val="en-US" w:eastAsia="zh-CN"/>
        </w:rPr>
        <w:t>仟元）</w:t>
      </w:r>
      <w:r>
        <w:rPr>
          <w:rFonts w:hint="eastAsia" w:ascii="Times New Roman" w:hAnsi="Times New Roman" w:eastAsia="仿宋_GB2312" w:cs="Times New Roman"/>
          <w:color w:val="auto"/>
          <w:sz w:val="32"/>
          <w:szCs w:val="32"/>
          <w:shd w:val="clear" w:color="auto" w:fill="FFFFFF"/>
          <w:lang w:val="en-US" w:eastAsia="zh-CN"/>
        </w:rPr>
        <w:t>。2024年3月29日起吴X临时雇佣农民工、挖掘机开始对该标段进行施工。</w:t>
      </w:r>
    </w:p>
    <w:p>
      <w:pPr>
        <w:pStyle w:val="4"/>
        <w:pageBreakBefore w:val="0"/>
        <w:numPr>
          <w:ilvl w:val="0"/>
          <w:numId w:val="2"/>
        </w:numPr>
        <w:kinsoku/>
        <w:wordWrap/>
        <w:overflowPunct/>
        <w:topLinePunct w:val="0"/>
        <w:autoSpaceDE/>
        <w:autoSpaceDN/>
        <w:bidi w:val="0"/>
        <w:adjustRightInd/>
        <w:snapToGrid/>
        <w:spacing w:line="560" w:lineRule="exact"/>
        <w:ind w:left="640" w:leftChars="0" w:firstLineChars="0"/>
        <w:textAlignment w:val="auto"/>
        <w:outlineLvl w:val="1"/>
        <w:rPr>
          <w:rFonts w:hint="eastAsia" w:ascii="楷体" w:hAnsi="楷体" w:eastAsia="楷体" w:cs="楷体"/>
          <w:color w:val="auto"/>
          <w:lang w:val="en-US" w:eastAsia="zh-CN"/>
        </w:rPr>
      </w:pPr>
      <w:bookmarkStart w:id="80" w:name="_Toc16815"/>
      <w:bookmarkStart w:id="81" w:name="_Toc1547"/>
      <w:bookmarkStart w:id="82" w:name="_Toc24595"/>
      <w:bookmarkStart w:id="83" w:name="_Toc20598"/>
      <w:bookmarkStart w:id="84" w:name="_Toc24394"/>
      <w:bookmarkStart w:id="85" w:name="_Toc28404"/>
      <w:r>
        <w:rPr>
          <w:rFonts w:hint="eastAsia" w:ascii="楷体" w:hAnsi="楷体" w:eastAsia="楷体" w:cs="楷体"/>
          <w:color w:val="auto"/>
          <w:lang w:val="en-US" w:eastAsia="zh-CN"/>
        </w:rPr>
        <w:t>事故发生单位安全管理情况</w:t>
      </w:r>
      <w:bookmarkEnd w:id="80"/>
      <w:bookmarkEnd w:id="81"/>
      <w:bookmarkEnd w:id="82"/>
      <w:bookmarkEnd w:id="83"/>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喀什市阿瓦提乡人民政府未有效履行属地责任，未有效压实该项目相关负责人员监督管理责任。</w:t>
      </w:r>
      <w:r>
        <w:rPr>
          <w:rFonts w:hint="default" w:ascii="Times New Roman" w:hAnsi="Times New Roman" w:eastAsia="仿宋_GB2312" w:cs="Times New Roman"/>
          <w:color w:val="auto"/>
          <w:sz w:val="32"/>
          <w:szCs w:val="32"/>
          <w:shd w:val="clear" w:color="auto" w:fill="FFFFFF"/>
          <w:lang w:val="en-US" w:eastAsia="zh-CN"/>
        </w:rPr>
        <w:t>喀什市</w:t>
      </w:r>
      <w:r>
        <w:rPr>
          <w:rFonts w:hint="eastAsia" w:ascii="Times New Roman" w:hAnsi="Times New Roman" w:eastAsia="仿宋_GB2312" w:cs="Times New Roman"/>
          <w:color w:val="auto"/>
          <w:sz w:val="32"/>
          <w:szCs w:val="32"/>
          <w:shd w:val="clear" w:color="auto" w:fill="FFFFFF"/>
          <w:lang w:val="en-US" w:eastAsia="zh-CN"/>
        </w:rPr>
        <w:t>阿瓦提乡阿萨村村民委员会作为该项目工程建设单位，未安排现场安全管理人员在施工现场进行监督，事故发生时现场安全管理人员不在场，未能在第一时间掌握事故发生情况。喀什市一峰装饰装潢工程店作为工程承包施工单位，未依法履行安全生产责任，承包喀什市阿瓦提乡阿萨村下水管网塌方维修工程，将下水管道维修和疏通部分再分包给吴X（个人）进行施工，并签订《建筑施工合同》，且该合同中存在“乙方发生的一切事故均由乙方自行负责”的无效条款。主要负责人履职尽责不到位，</w:t>
      </w:r>
      <w:r>
        <w:rPr>
          <w:rFonts w:hint="default" w:ascii="Times New Roman" w:hAnsi="Times New Roman" w:eastAsia="仿宋_GB2312" w:cs="Times New Roman"/>
          <w:color w:val="auto"/>
          <w:sz w:val="32"/>
          <w:szCs w:val="32"/>
          <w:shd w:val="clear" w:color="auto" w:fill="FFFFFF"/>
          <w:lang w:val="en-US" w:eastAsia="zh-CN"/>
        </w:rPr>
        <w:t>未采取技术、管理措施</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及时发现并消除事故隐患</w:t>
      </w:r>
      <w:r>
        <w:rPr>
          <w:rFonts w:hint="eastAsia" w:ascii="Times New Roman" w:hAnsi="Times New Roman" w:eastAsia="仿宋_GB2312" w:cs="Times New Roman"/>
          <w:color w:val="auto"/>
          <w:sz w:val="32"/>
          <w:szCs w:val="32"/>
          <w:shd w:val="clear" w:color="auto" w:fill="FFFFFF"/>
          <w:lang w:val="en-US" w:eastAsia="zh-CN"/>
        </w:rPr>
        <w:t>。该项目现场施工负责人未常驻施工现场依法履职，现场安全管理混乱。承包人吴X（个人）安全意识淡薄，未对施工人员开展安全教育培训，未向施工人员提供劳动防护用品，现场安全管理混乱，在进行挖掘作业时，未安排专门人员进行现场安全管理，未设置警戒区域、警示标志；挖掘机司机未严格遵守操作规程，未取得大型机械设备操作证，在麦X（伤者）未置身于安全距离的情况下违规进行吊装作业。</w:t>
      </w:r>
    </w:p>
    <w:p>
      <w:pPr>
        <w:pStyle w:val="4"/>
        <w:pageBreakBefore w:val="0"/>
        <w:numPr>
          <w:ilvl w:val="0"/>
          <w:numId w:val="2"/>
        </w:numPr>
        <w:kinsoku/>
        <w:wordWrap/>
        <w:overflowPunct/>
        <w:topLinePunct w:val="0"/>
        <w:autoSpaceDE/>
        <w:autoSpaceDN/>
        <w:bidi w:val="0"/>
        <w:adjustRightInd/>
        <w:snapToGrid/>
        <w:spacing w:line="560" w:lineRule="exact"/>
        <w:ind w:left="640" w:leftChars="0" w:firstLineChars="0"/>
        <w:textAlignment w:val="auto"/>
        <w:outlineLvl w:val="1"/>
        <w:rPr>
          <w:rFonts w:hint="default" w:ascii="楷体" w:hAnsi="楷体" w:eastAsia="楷体" w:cs="楷体"/>
          <w:color w:val="auto"/>
          <w:lang w:val="en-US" w:eastAsia="zh-CN"/>
        </w:rPr>
      </w:pPr>
      <w:bookmarkStart w:id="86" w:name="_Toc21529"/>
      <w:r>
        <w:rPr>
          <w:rFonts w:hint="eastAsia" w:ascii="楷体" w:hAnsi="楷体" w:eastAsia="楷体" w:cs="楷体"/>
          <w:color w:val="auto"/>
          <w:lang w:val="en-US" w:eastAsia="zh-CN"/>
        </w:rPr>
        <w:t>事故发生经过</w:t>
      </w:r>
      <w:bookmarkEnd w:id="86"/>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2024年4月6日14时10分许，</w:t>
      </w:r>
      <w:r>
        <w:rPr>
          <w:rFonts w:hint="default" w:ascii="Times New Roman" w:hAnsi="Times New Roman" w:eastAsia="仿宋_GB2312" w:cs="Times New Roman"/>
          <w:color w:val="auto"/>
          <w:sz w:val="32"/>
          <w:szCs w:val="32"/>
          <w:shd w:val="clear" w:color="auto" w:fill="FFFFFF"/>
          <w:lang w:val="en-US" w:eastAsia="zh-CN"/>
        </w:rPr>
        <w:t>喀什市</w:t>
      </w:r>
      <w:r>
        <w:rPr>
          <w:rFonts w:hint="eastAsia" w:ascii="Times New Roman" w:hAnsi="Times New Roman" w:eastAsia="仿宋_GB2312" w:cs="Times New Roman"/>
          <w:color w:val="auto"/>
          <w:sz w:val="32"/>
          <w:szCs w:val="32"/>
          <w:shd w:val="clear" w:color="auto" w:fill="FFFFFF"/>
          <w:lang w:val="en-US" w:eastAsia="zh-CN"/>
        </w:rPr>
        <w:t>阿瓦提乡阿萨村下水管网塌方维修项目正在施工，由于下水道管道需要维修衔接，现场施工人员阿X与麦X（伤者）在1.5米深的管沟内相向俯身维修下水管道。此时，艾XX（挖掘机司机）操作履带式挖掘机在离施工人员6</w:t>
      </w:r>
      <w:r>
        <w:rPr>
          <w:rFonts w:hint="eastAsia" w:ascii="Times New Roman" w:hAnsi="Times New Roman" w:eastAsia="仿宋_GB2312" w:cs="Times New Roman"/>
          <w:color w:val="auto"/>
          <w:sz w:val="32"/>
          <w:szCs w:val="32"/>
          <w:shd w:val="clear" w:color="auto" w:fill="FFFFFF"/>
          <w:lang w:val="en-US" w:eastAsia="zh-CN"/>
        </w:rPr>
        <w:drawing>
          <wp:anchor distT="0" distB="0" distL="114300" distR="114300" simplePos="0" relativeHeight="251660288" behindDoc="0" locked="0" layoutInCell="1" allowOverlap="1">
            <wp:simplePos x="0" y="0"/>
            <wp:positionH relativeFrom="column">
              <wp:posOffset>123825</wp:posOffset>
            </wp:positionH>
            <wp:positionV relativeFrom="page">
              <wp:posOffset>3962400</wp:posOffset>
            </wp:positionV>
            <wp:extent cx="5273040" cy="3582670"/>
            <wp:effectExtent l="0" t="0" r="3810" b="17780"/>
            <wp:wrapTopAndBottom/>
            <wp:docPr id="1" name="图片 1" descr="ee3d34bc977cb6edb34f6b61785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3d34bc977cb6edb34f6b617855150"/>
                    <pic:cNvPicPr>
                      <a:picLocks noChangeAspect="1"/>
                    </pic:cNvPicPr>
                  </pic:nvPicPr>
                  <pic:blipFill>
                    <a:blip r:embed="rId9"/>
                    <a:stretch>
                      <a:fillRect/>
                    </a:stretch>
                  </pic:blipFill>
                  <pic:spPr>
                    <a:xfrm>
                      <a:off x="0" y="0"/>
                      <a:ext cx="5273040" cy="3582670"/>
                    </a:xfrm>
                    <a:prstGeom prst="rect">
                      <a:avLst/>
                    </a:prstGeom>
                  </pic:spPr>
                </pic:pic>
              </a:graphicData>
            </a:graphic>
          </wp:anchor>
        </w:drawing>
      </w:r>
      <w:r>
        <w:rPr>
          <w:rFonts w:hint="eastAsia" w:ascii="Times New Roman" w:hAnsi="Times New Roman" w:eastAsia="仿宋_GB2312" w:cs="Times New Roman"/>
          <w:color w:val="auto"/>
          <w:sz w:val="32"/>
          <w:szCs w:val="32"/>
          <w:shd w:val="clear" w:color="auto" w:fill="FFFFFF"/>
          <w:lang w:val="en-US" w:eastAsia="zh-CN"/>
        </w:rPr>
        <w:t>米的管道维修处进行挖土清理作业，由于艾XX（挖掘机司机）安全意识淡薄，挖掘机机身不动、回转动臂挖土清理至现场施工人员阿X与麦X（伤者）施工区域，视线被沟壁土方受阻未确认挖土区域内是否在有人施工的情况下，盲目操作导致挖掘机铲斗砸到麦X（伤者）的腰部，造成</w:t>
      </w:r>
      <w:bookmarkStart w:id="87" w:name="_Toc23556"/>
      <w:bookmarkStart w:id="88" w:name="_Toc21651"/>
      <w:bookmarkStart w:id="89" w:name="_Toc32423"/>
      <w:bookmarkStart w:id="90" w:name="_Toc10411"/>
      <w:bookmarkStart w:id="91" w:name="_Toc1159"/>
      <w:r>
        <w:rPr>
          <w:rFonts w:hint="eastAsia" w:ascii="Times New Roman" w:hAnsi="Times New Roman" w:eastAsia="仿宋_GB2312" w:cs="Times New Roman"/>
          <w:color w:val="auto"/>
          <w:sz w:val="32"/>
          <w:szCs w:val="32"/>
          <w:shd w:val="clear" w:color="auto" w:fill="FFFFFF"/>
          <w:lang w:val="en-US" w:eastAsia="zh-CN"/>
        </w:rPr>
        <w:t>麦X（伤者）腰椎骨折。</w:t>
      </w:r>
      <w:bookmarkEnd w:id="87"/>
      <w:bookmarkEnd w:id="88"/>
      <w:bookmarkEnd w:id="89"/>
      <w:bookmarkEnd w:id="90"/>
      <w:bookmarkEnd w:id="91"/>
      <w:bookmarkStart w:id="92" w:name="_Toc24359"/>
      <w:bookmarkStart w:id="93" w:name="_Toc25801"/>
      <w:bookmarkStart w:id="94" w:name="_Toc18662"/>
      <w:bookmarkStart w:id="95" w:name="_Toc28470"/>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center"/>
        <w:textAlignment w:val="auto"/>
        <w:rPr>
          <w:rFonts w:hint="eastAsia" w:asciiTheme="minorEastAsia" w:hAnsiTheme="minorEastAsia" w:eastAsiaTheme="minorEastAsia" w:cstheme="minorEastAsia"/>
          <w:b w:val="0"/>
          <w:bCs w:val="0"/>
          <w:color w:val="auto"/>
          <w:sz w:val="28"/>
          <w:szCs w:val="28"/>
          <w:shd w:val="clear" w:color="auto" w:fill="FFFFFF"/>
          <w:lang w:val="en-US" w:eastAsia="zh-CN"/>
        </w:rPr>
      </w:pPr>
      <w:r>
        <w:rPr>
          <w:rFonts w:hint="eastAsia" w:asciiTheme="minorEastAsia" w:hAnsiTheme="minorEastAsia" w:eastAsiaTheme="minorEastAsia" w:cstheme="minorEastAsia"/>
          <w:b w:val="0"/>
          <w:bCs w:val="0"/>
          <w:color w:val="auto"/>
          <w:sz w:val="28"/>
          <w:szCs w:val="28"/>
          <w:shd w:val="clear" w:color="auto" w:fill="FFFFFF"/>
          <w:lang w:val="en-US" w:eastAsia="zh-CN"/>
        </w:rPr>
        <w:t>图1 事故位置示意图</w:t>
      </w:r>
    </w:p>
    <w:p>
      <w:pPr>
        <w:bidi w:val="0"/>
        <w:ind w:firstLine="640" w:firstLineChars="200"/>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left"/>
        <w:textAlignment w:val="auto"/>
        <w:rPr>
          <w:rFonts w:hint="eastAsia" w:ascii="方正仿宋_GBK" w:hAnsi="方正仿宋_GBK" w:eastAsia="方正仿宋_GBK" w:cs="方正仿宋_GBK"/>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left"/>
        <w:textAlignment w:val="auto"/>
        <w:rPr>
          <w:rFonts w:hint="eastAsia" w:ascii="方正仿宋_GBK" w:hAnsi="方正仿宋_GBK" w:eastAsia="方正仿宋_GBK" w:cs="方正仿宋_GBK"/>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left"/>
        <w:textAlignment w:val="auto"/>
        <w:rPr>
          <w:rFonts w:hint="eastAsia" w:ascii="方正仿宋_GBK" w:hAnsi="方正仿宋_GBK" w:eastAsia="方正仿宋_GBK" w:cs="方正仿宋_GBK"/>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left"/>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136525</wp:posOffset>
            </wp:positionV>
            <wp:extent cx="5253990" cy="3291205"/>
            <wp:effectExtent l="0" t="0" r="3810" b="4445"/>
            <wp:wrapTopAndBottom/>
            <wp:docPr id="4" name="图片 4" descr="d498aabbc10746500a3b2470c0f78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98aabbc10746500a3b2470c0f783d"/>
                    <pic:cNvPicPr>
                      <a:picLocks noChangeAspect="1"/>
                    </pic:cNvPicPr>
                  </pic:nvPicPr>
                  <pic:blipFill>
                    <a:blip r:embed="rId10"/>
                    <a:stretch>
                      <a:fillRect/>
                    </a:stretch>
                  </pic:blipFill>
                  <pic:spPr>
                    <a:xfrm>
                      <a:off x="0" y="0"/>
                      <a:ext cx="5253990" cy="329120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jc w:val="center"/>
        <w:textAlignment w:val="auto"/>
        <w:rPr>
          <w:rFonts w:hint="eastAsia" w:asciiTheme="minorEastAsia" w:hAnsiTheme="minorEastAsia" w:eastAsiaTheme="minorEastAsia" w:cstheme="minorEastAsia"/>
          <w:b w:val="0"/>
          <w:bCs w:val="0"/>
          <w:color w:val="auto"/>
          <w:sz w:val="28"/>
          <w:szCs w:val="28"/>
          <w:shd w:val="clear" w:color="auto" w:fill="FFFFFF"/>
          <w:lang w:val="en-US" w:eastAsia="zh-CN"/>
        </w:rPr>
      </w:pPr>
      <w:r>
        <w:rPr>
          <w:rFonts w:hint="eastAsia" w:ascii="方正仿宋_GBK" w:hAnsi="方正仿宋_GBK" w:cs="方正仿宋_GBK"/>
          <w:color w:val="auto"/>
          <w:sz w:val="32"/>
          <w:szCs w:val="32"/>
          <w:shd w:val="clear" w:color="auto" w:fill="FFFFFF"/>
          <w:lang w:val="en-US" w:eastAsia="zh-CN"/>
        </w:rPr>
        <w:tab/>
      </w:r>
      <w:r>
        <w:rPr>
          <w:rFonts w:hint="eastAsia" w:asciiTheme="minorEastAsia" w:hAnsiTheme="minorEastAsia" w:eastAsiaTheme="minorEastAsia" w:cstheme="minorEastAsia"/>
          <w:b w:val="0"/>
          <w:bCs w:val="0"/>
          <w:color w:val="auto"/>
          <w:sz w:val="28"/>
          <w:szCs w:val="28"/>
          <w:shd w:val="clear" w:color="auto" w:fill="FFFFFF"/>
          <w:lang w:val="en-US" w:eastAsia="zh-CN"/>
        </w:rPr>
        <w:t>图2 伤者位置示意图</w:t>
      </w:r>
    </w:p>
    <w:p>
      <w:pPr>
        <w:pStyle w:val="4"/>
        <w:pageBreakBefore w:val="0"/>
        <w:numPr>
          <w:ilvl w:val="0"/>
          <w:numId w:val="2"/>
        </w:numPr>
        <w:kinsoku/>
        <w:wordWrap/>
        <w:overflowPunct/>
        <w:topLinePunct w:val="0"/>
        <w:autoSpaceDE/>
        <w:autoSpaceDN/>
        <w:bidi w:val="0"/>
        <w:adjustRightInd/>
        <w:snapToGrid/>
        <w:spacing w:line="560" w:lineRule="exact"/>
        <w:ind w:left="640" w:leftChars="0" w:firstLineChars="0"/>
        <w:textAlignment w:val="auto"/>
        <w:outlineLvl w:val="1"/>
        <w:rPr>
          <w:rFonts w:hint="eastAsia" w:ascii="楷体" w:hAnsi="楷体" w:eastAsia="楷体" w:cs="楷体"/>
          <w:color w:val="auto"/>
          <w:lang w:val="en-US" w:eastAsia="zh-CN"/>
        </w:rPr>
      </w:pPr>
      <w:bookmarkStart w:id="96" w:name="_Toc27416"/>
      <w:r>
        <w:rPr>
          <w:rFonts w:hint="eastAsia" w:ascii="楷体" w:hAnsi="楷体" w:eastAsia="楷体" w:cs="楷体"/>
          <w:color w:val="auto"/>
          <w:lang w:val="en-US" w:eastAsia="zh-CN"/>
        </w:rPr>
        <w:t>事故现场情况</w:t>
      </w:r>
      <w:bookmarkEnd w:id="92"/>
      <w:bookmarkEnd w:id="93"/>
      <w:bookmarkEnd w:id="94"/>
      <w:bookmarkEnd w:id="95"/>
      <w:bookmarkEnd w:id="96"/>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事故现场位于</w:t>
      </w:r>
      <w:r>
        <w:rPr>
          <w:rFonts w:hint="default" w:ascii="Times New Roman" w:hAnsi="Times New Roman" w:eastAsia="仿宋_GB2312" w:cs="Times New Roman"/>
          <w:color w:val="auto"/>
          <w:sz w:val="32"/>
          <w:szCs w:val="32"/>
          <w:shd w:val="clear" w:color="auto" w:fill="FFFFFF"/>
          <w:lang w:val="en-US" w:eastAsia="zh-CN"/>
        </w:rPr>
        <w:t>喀什市</w:t>
      </w:r>
      <w:r>
        <w:rPr>
          <w:rFonts w:hint="eastAsia" w:ascii="Times New Roman" w:hAnsi="Times New Roman" w:eastAsia="仿宋_GB2312" w:cs="Times New Roman"/>
          <w:color w:val="auto"/>
          <w:sz w:val="32"/>
          <w:szCs w:val="32"/>
          <w:shd w:val="clear" w:color="auto" w:fill="FFFFFF"/>
          <w:lang w:val="en-US" w:eastAsia="zh-CN"/>
        </w:rPr>
        <w:t>阿瓦提乡阿萨村（阿瓦提乡8村）下水管网塌方维修项目施工现场。施工现场无安全警示标识标牌，无现场负责人，无安全管理人员，无建设单位监督人员。经询问了解，无人指挥挖掘机回转挖土动向，挖掘机司机在挖土作业过程中，将清理出来的土方随机堆积在机身与管沟之间，管道沟壁形成约1米高的土方障碍物，管沟内两名施工人员在管沟内俯身相向作业，处在挖掘机驾驶员视野盲区，无法有效沟通并判断事故隐患，从而当铲斗下挖过程中麦X（伤者）未能第一时间逃离。</w:t>
      </w:r>
    </w:p>
    <w:p>
      <w:pPr>
        <w:pStyle w:val="4"/>
        <w:pageBreakBefore w:val="0"/>
        <w:numPr>
          <w:ilvl w:val="0"/>
          <w:numId w:val="2"/>
        </w:numPr>
        <w:kinsoku/>
        <w:wordWrap/>
        <w:overflowPunct/>
        <w:topLinePunct w:val="0"/>
        <w:autoSpaceDE/>
        <w:autoSpaceDN/>
        <w:bidi w:val="0"/>
        <w:adjustRightInd/>
        <w:snapToGrid/>
        <w:spacing w:line="560" w:lineRule="exact"/>
        <w:ind w:left="640" w:leftChars="0" w:firstLineChars="0"/>
        <w:textAlignment w:val="auto"/>
        <w:outlineLvl w:val="1"/>
        <w:rPr>
          <w:rFonts w:hint="eastAsia" w:ascii="楷体" w:hAnsi="楷体" w:eastAsia="楷体" w:cs="楷体"/>
          <w:color w:val="auto"/>
          <w:lang w:val="en-US" w:eastAsia="zh-CN"/>
        </w:rPr>
      </w:pPr>
      <w:bookmarkStart w:id="97" w:name="_Toc4019"/>
      <w:bookmarkStart w:id="98" w:name="_Toc14090"/>
      <w:bookmarkStart w:id="99" w:name="_Toc9913"/>
      <w:bookmarkStart w:id="100" w:name="_Toc29411"/>
      <w:bookmarkStart w:id="101" w:name="_Toc8742"/>
      <w:bookmarkStart w:id="102" w:name="_Toc14705"/>
      <w:bookmarkStart w:id="103" w:name="_Toc23580"/>
      <w:r>
        <w:rPr>
          <w:rFonts w:hint="eastAsia" w:ascii="楷体" w:hAnsi="楷体" w:eastAsia="楷体" w:cs="楷体"/>
          <w:color w:val="auto"/>
          <w:lang w:val="en-US" w:eastAsia="zh-CN"/>
        </w:rPr>
        <w:t>人员伤亡情况</w:t>
      </w:r>
      <w:bookmarkEnd w:id="97"/>
      <w:bookmarkEnd w:id="98"/>
      <w:bookmarkEnd w:id="99"/>
      <w:bookmarkEnd w:id="100"/>
      <w:bookmarkEnd w:id="101"/>
      <w:bookmarkEnd w:id="102"/>
      <w:bookmarkEnd w:id="103"/>
    </w:p>
    <w:p>
      <w:pPr>
        <w:pStyle w:val="5"/>
        <w:pageBreakBefore w:val="0"/>
        <w:kinsoku/>
        <w:wordWrap/>
        <w:overflowPunct/>
        <w:topLinePunct w:val="0"/>
        <w:autoSpaceDE/>
        <w:autoSpaceDN/>
        <w:bidi w:val="0"/>
        <w:adjustRightInd/>
        <w:snapToGrid/>
        <w:spacing w:before="0" w:beforeLines="0" w:after="0" w:afterLines="0" w:line="560" w:lineRule="exact"/>
        <w:ind w:left="0" w:firstLine="643" w:firstLineChars="200"/>
        <w:textAlignment w:val="auto"/>
        <w:outlineLvl w:val="2"/>
        <w:rPr>
          <w:rFonts w:hint="eastAsia" w:ascii="仿宋_GB2312" w:hAnsi="仿宋_GB2312" w:eastAsia="仿宋_GB2312" w:cs="仿宋_GB2312"/>
          <w:color w:val="auto"/>
          <w:lang w:val="en-US" w:eastAsia="zh-CN"/>
        </w:rPr>
      </w:pPr>
      <w:bookmarkStart w:id="104" w:name="_Toc26632"/>
      <w:bookmarkStart w:id="105" w:name="_Toc22690"/>
      <w:bookmarkStart w:id="106" w:name="_Toc6620"/>
      <w:bookmarkStart w:id="107" w:name="_Toc26141"/>
      <w:bookmarkStart w:id="108" w:name="_Toc9487"/>
      <w:bookmarkStart w:id="109" w:name="_Toc25674"/>
      <w:r>
        <w:rPr>
          <w:rFonts w:hint="eastAsia" w:ascii="仿宋_GB2312" w:hAnsi="仿宋_GB2312" w:eastAsia="仿宋_GB2312" w:cs="仿宋_GB2312"/>
          <w:color w:val="auto"/>
          <w:lang w:val="en-US" w:eastAsia="zh-CN"/>
        </w:rPr>
        <w:t>1.受伤人员</w:t>
      </w:r>
      <w:bookmarkEnd w:id="104"/>
      <w:bookmarkEnd w:id="105"/>
      <w:bookmarkEnd w:id="106"/>
      <w:bookmarkEnd w:id="107"/>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麦X，男，维吾尔族，身份证号：653121198211******，现居住地：喀什市帕哈太克里乡人民政府尤勒古鲁克村。无固定工作岗位，为临时工。</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0" w:firstLineChars="200"/>
        <w:textAlignment w:val="auto"/>
        <w:outlineLvl w:val="0"/>
        <w:rPr>
          <w:rFonts w:hint="default" w:ascii="黑体" w:hAnsi="黑体" w:eastAsia="黑体" w:cs="黑体"/>
          <w:b w:val="0"/>
          <w:bCs/>
          <w:color w:val="auto"/>
          <w:lang w:val="en-US" w:eastAsia="zh-CN"/>
        </w:rPr>
      </w:pPr>
      <w:bookmarkStart w:id="110" w:name="_Toc16684"/>
      <w:bookmarkStart w:id="111" w:name="_Toc2126"/>
      <w:bookmarkStart w:id="112" w:name="_Toc17342"/>
      <w:bookmarkStart w:id="113" w:name="_Toc22860"/>
      <w:bookmarkStart w:id="114" w:name="_Toc10093"/>
      <w:bookmarkStart w:id="115" w:name="_Toc10246"/>
      <w:bookmarkStart w:id="116" w:name="_Toc26352"/>
      <w:r>
        <w:rPr>
          <w:rFonts w:hint="eastAsia" w:ascii="黑体" w:hAnsi="黑体" w:eastAsia="黑体" w:cs="黑体"/>
          <w:b w:val="0"/>
          <w:bCs/>
          <w:color w:val="auto"/>
          <w:lang w:val="en-US" w:eastAsia="zh-CN"/>
        </w:rPr>
        <w:t>事故应急处置及评估情况</w:t>
      </w:r>
      <w:bookmarkEnd w:id="110"/>
      <w:bookmarkEnd w:id="111"/>
      <w:bookmarkEnd w:id="112"/>
      <w:bookmarkEnd w:id="113"/>
      <w:bookmarkEnd w:id="114"/>
      <w:bookmarkEnd w:id="115"/>
      <w:bookmarkEnd w:id="116"/>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117" w:name="_Toc11290"/>
      <w:bookmarkStart w:id="118" w:name="_Toc278"/>
      <w:bookmarkStart w:id="119" w:name="_Toc29269"/>
      <w:bookmarkStart w:id="120" w:name="_Toc23139"/>
      <w:bookmarkStart w:id="121" w:name="_Toc23126"/>
      <w:bookmarkStart w:id="122" w:name="_Toc30952"/>
      <w:bookmarkStart w:id="123" w:name="_Toc10619"/>
      <w:r>
        <w:rPr>
          <w:rFonts w:hint="eastAsia" w:ascii="楷体" w:hAnsi="楷体" w:eastAsia="楷体" w:cs="楷体"/>
          <w:color w:val="auto"/>
          <w:lang w:val="en-US" w:eastAsia="zh-CN"/>
        </w:rPr>
        <w:t>（一）事故信息接报及响应情况</w:t>
      </w:r>
      <w:bookmarkEnd w:id="117"/>
      <w:bookmarkEnd w:id="118"/>
      <w:bookmarkEnd w:id="119"/>
      <w:bookmarkEnd w:id="120"/>
      <w:bookmarkEnd w:id="121"/>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事故发生后，实际施工负责人吴X于14时12分许拨打了120急救电话，随后给挖掘机车主、工程承包施工单位现场负责人打了电话，14时20分许第二次拨打了120急救电话，14时45分许120救护车到达事故现场，医生在现场进行简单处理后，同现场人员携手将麦X（伤者）抬上救护车，伤者哥哥阿X（现场施工人员）乘坐救护车陪同前往喀什地区第一人民医院总部进行救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经调查了解，2024年4月6日事故发生以后，现场负责人吴X及时联系120救护人员将伤者送到地区第一人民医院救治。2024年4月8日，挖掘机实际拥有人与挖掘机司机到阿瓦提乡8村村委会向时任8村支部书记兼村委会主任艾XX和8村警务站警务人员巴X反映事故发生经过及救济情况；警务人员巴X了解情况以后向阿瓦提乡派出所汇报情况，随即派出所工作人员向阿瓦提乡人民政府党委委员、武装部长郭X汇报情况，郭X得知情况以后并未在第一时间向上级部门或分管安全生产的监管单位汇报情况；同日，阿瓦提乡人民政府党委委员、常务副乡长李X通过施工承包人王X了解到事故发生的经过后，向阿瓦提乡人民政府党委书记王XX电话汇报相关情况，并按照王XX安排再次联系施工承包人王XX督促妥善处理事故相关事宜，未向上级部门或分管安全生产的监管单位汇报事故情况。</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124" w:name="_Toc7103"/>
      <w:bookmarkStart w:id="125" w:name="_Toc28324"/>
      <w:bookmarkStart w:id="126" w:name="_Toc1781"/>
      <w:bookmarkStart w:id="127" w:name="_Toc17990"/>
      <w:bookmarkStart w:id="128" w:name="_Toc29703"/>
      <w:bookmarkStart w:id="129" w:name="_Toc14635"/>
      <w:bookmarkStart w:id="130" w:name="_Toc14684"/>
      <w:r>
        <w:rPr>
          <w:rFonts w:hint="eastAsia" w:ascii="楷体" w:hAnsi="楷体" w:eastAsia="楷体" w:cs="楷体"/>
          <w:color w:val="auto"/>
          <w:lang w:val="en-US" w:eastAsia="zh-CN"/>
        </w:rPr>
        <w:t>（二）事故现场应急处置情况</w:t>
      </w:r>
      <w:bookmarkEnd w:id="124"/>
      <w:bookmarkEnd w:id="125"/>
      <w:bookmarkEnd w:id="126"/>
      <w:bookmarkEnd w:id="127"/>
      <w:bookmarkEnd w:id="128"/>
      <w:bookmarkEnd w:id="129"/>
      <w:bookmarkEnd w:id="130"/>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bookmarkStart w:id="131" w:name="_Toc28525"/>
      <w:bookmarkStart w:id="132" w:name="_Toc31248"/>
      <w:bookmarkStart w:id="133" w:name="_Toc9056"/>
      <w:bookmarkStart w:id="134" w:name="_Toc3133"/>
      <w:bookmarkStart w:id="135" w:name="_Toc20340"/>
      <w:r>
        <w:rPr>
          <w:rFonts w:hint="eastAsia" w:ascii="Times New Roman" w:hAnsi="Times New Roman" w:eastAsia="仿宋_GB2312" w:cs="Times New Roman"/>
          <w:color w:val="auto"/>
          <w:sz w:val="32"/>
          <w:szCs w:val="32"/>
          <w:shd w:val="clear" w:color="auto" w:fill="FFFFFF"/>
          <w:lang w:val="en-US" w:eastAsia="zh-CN"/>
        </w:rPr>
        <w:t>事故发生后，</w:t>
      </w:r>
      <w:bookmarkEnd w:id="131"/>
      <w:bookmarkEnd w:id="132"/>
      <w:bookmarkEnd w:id="133"/>
      <w:bookmarkEnd w:id="134"/>
      <w:bookmarkEnd w:id="135"/>
      <w:r>
        <w:rPr>
          <w:rFonts w:hint="eastAsia" w:ascii="Times New Roman" w:hAnsi="Times New Roman" w:eastAsia="仿宋_GB2312" w:cs="Times New Roman"/>
          <w:color w:val="auto"/>
          <w:sz w:val="32"/>
          <w:szCs w:val="32"/>
          <w:shd w:val="clear" w:color="auto" w:fill="FFFFFF"/>
          <w:lang w:val="en-US" w:eastAsia="zh-CN"/>
        </w:rPr>
        <w:t>实际施工负责人吴X分别于14时12分许、14时20分许拨打了120急救电话，14时45分许120救护车到达事故现场，医生在现场进行简单处理后，在现场人员协助下医护人员将麦X（伤者）抬上救护车，伤者哥哥阿X乘坐救护车陪同前往喀什地区第一人民医院总部进行救治。</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136" w:name="_Toc13180"/>
      <w:bookmarkStart w:id="137" w:name="_Toc8187"/>
      <w:bookmarkStart w:id="138" w:name="_Toc16746"/>
      <w:bookmarkStart w:id="139" w:name="_Toc41"/>
      <w:bookmarkStart w:id="140" w:name="_Toc15705"/>
      <w:bookmarkStart w:id="141" w:name="_Toc25653"/>
      <w:bookmarkStart w:id="142" w:name="_Toc20086"/>
      <w:bookmarkStart w:id="143" w:name="_Toc15268"/>
      <w:r>
        <w:rPr>
          <w:rFonts w:hint="default" w:ascii="楷体" w:hAnsi="楷体" w:eastAsia="楷体" w:cs="楷体"/>
          <w:color w:val="auto"/>
          <w:lang w:val="en-US" w:eastAsia="zh-CN"/>
        </w:rPr>
        <w:t>（三）医疗救治情况</w:t>
      </w:r>
      <w:bookmarkEnd w:id="136"/>
      <w:bookmarkEnd w:id="137"/>
      <w:bookmarkEnd w:id="138"/>
      <w:bookmarkEnd w:id="139"/>
      <w:bookmarkEnd w:id="140"/>
      <w:bookmarkEnd w:id="141"/>
      <w:bookmarkEnd w:id="142"/>
      <w:bookmarkEnd w:id="14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bookmarkStart w:id="144" w:name="_Toc25803"/>
      <w:bookmarkStart w:id="145" w:name="_Toc22375"/>
      <w:bookmarkStart w:id="146" w:name="_Toc11695"/>
      <w:bookmarkStart w:id="147" w:name="_Toc25466"/>
      <w:bookmarkStart w:id="148" w:name="_Toc20667"/>
      <w:r>
        <w:rPr>
          <w:rFonts w:hint="eastAsia" w:ascii="Times New Roman" w:hAnsi="Times New Roman" w:eastAsia="仿宋_GB2312" w:cs="Times New Roman"/>
          <w:color w:val="auto"/>
          <w:sz w:val="32"/>
          <w:szCs w:val="32"/>
          <w:shd w:val="clear" w:color="auto" w:fill="FFFFFF"/>
          <w:lang w:val="en-US" w:eastAsia="zh-CN"/>
        </w:rPr>
        <w:t>事故发生后，喀什地区第一人民医院救护人员赶到现场对麦X（伤者）进行了伤情确认并现场进行简单处置，随后将伤者送往喀什地区第一人民医院总部进行救治，经医生诊断为腰椎骨折，2024年4月9日进行了手术，经过一段时间治疗后，4月20日起至今在喀什地区第一人民医院疏附县广州新城院区康复中心进行康复治疗，目前伤者康复得较好。</w:t>
      </w:r>
    </w:p>
    <w:bookmarkEnd w:id="144"/>
    <w:bookmarkEnd w:id="145"/>
    <w:bookmarkEnd w:id="146"/>
    <w:bookmarkEnd w:id="147"/>
    <w:bookmarkEnd w:id="148"/>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149" w:name="_Toc5118"/>
      <w:bookmarkStart w:id="150" w:name="_Toc13136"/>
      <w:bookmarkStart w:id="151" w:name="_Toc6136"/>
      <w:bookmarkStart w:id="152" w:name="_Toc30965"/>
      <w:bookmarkStart w:id="153" w:name="_Toc10122"/>
      <w:bookmarkStart w:id="154" w:name="_Toc7232"/>
      <w:bookmarkStart w:id="155" w:name="_Toc692"/>
      <w:bookmarkStart w:id="156" w:name="_Toc3188"/>
      <w:r>
        <w:rPr>
          <w:rFonts w:hint="eastAsia" w:ascii="楷体" w:hAnsi="楷体" w:eastAsia="楷体" w:cs="楷体"/>
          <w:color w:val="auto"/>
          <w:lang w:val="en-US" w:eastAsia="zh-CN"/>
        </w:rPr>
        <w:t>（四）</w:t>
      </w:r>
      <w:r>
        <w:rPr>
          <w:rFonts w:hint="default" w:ascii="楷体" w:hAnsi="楷体" w:eastAsia="楷体" w:cs="楷体"/>
          <w:color w:val="auto"/>
          <w:lang w:val="en-US" w:eastAsia="zh-CN"/>
        </w:rPr>
        <w:t>事故应急处置评估</w:t>
      </w:r>
      <w:bookmarkEnd w:id="149"/>
      <w:bookmarkEnd w:id="150"/>
      <w:bookmarkEnd w:id="151"/>
      <w:bookmarkEnd w:id="152"/>
      <w:bookmarkEnd w:id="153"/>
      <w:bookmarkEnd w:id="154"/>
      <w:bookmarkEnd w:id="155"/>
      <w:bookmarkEnd w:id="156"/>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bookmarkStart w:id="157" w:name="_Toc28740"/>
      <w:bookmarkStart w:id="158" w:name="_Toc4659"/>
      <w:bookmarkStart w:id="159" w:name="_Toc17492"/>
      <w:bookmarkStart w:id="160" w:name="_Toc31719"/>
      <w:bookmarkStart w:id="161" w:name="_Toc3520"/>
      <w:r>
        <w:rPr>
          <w:rFonts w:hint="eastAsia" w:ascii="Times New Roman" w:hAnsi="Times New Roman" w:eastAsia="仿宋_GB2312" w:cs="Times New Roman"/>
          <w:color w:val="auto"/>
          <w:sz w:val="32"/>
          <w:szCs w:val="32"/>
          <w:shd w:val="clear" w:color="auto" w:fill="FFFFFF"/>
          <w:lang w:val="en-US" w:eastAsia="zh-CN"/>
        </w:rPr>
        <w:t>事故发生后，现场施工人员第一时间拨打了120急救电话，使病人得到有效救治。但</w:t>
      </w:r>
      <w:bookmarkEnd w:id="157"/>
      <w:bookmarkEnd w:id="158"/>
      <w:bookmarkEnd w:id="159"/>
      <w:bookmarkEnd w:id="160"/>
      <w:bookmarkEnd w:id="161"/>
      <w:r>
        <w:rPr>
          <w:rFonts w:hint="eastAsia" w:ascii="Times New Roman" w:hAnsi="Times New Roman" w:eastAsia="仿宋_GB2312" w:cs="Times New Roman"/>
          <w:color w:val="auto"/>
          <w:sz w:val="32"/>
          <w:szCs w:val="32"/>
          <w:shd w:val="clear" w:color="auto" w:fill="FFFFFF"/>
          <w:lang w:val="en-US" w:eastAsia="zh-CN"/>
        </w:rPr>
        <w:t>现场施工人员未向相关部门上报事故的发生，阿瓦提乡人民政府对事故的发生重视程度不够，调查组介入之前未曾向市委、市政府或负有安全生产监管职责的部门上报事故的发生，涉嫌瞒报。</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162" w:name="_Toc17040"/>
      <w:bookmarkStart w:id="163" w:name="_Toc25652"/>
      <w:bookmarkStart w:id="164" w:name="_Toc19596"/>
      <w:bookmarkStart w:id="165" w:name="_Toc871"/>
      <w:bookmarkStart w:id="166" w:name="_Toc22305"/>
      <w:bookmarkStart w:id="167" w:name="_Toc30840"/>
      <w:bookmarkStart w:id="168" w:name="_Toc29111"/>
      <w:r>
        <w:rPr>
          <w:rFonts w:hint="eastAsia" w:ascii="楷体" w:hAnsi="楷体" w:eastAsia="楷体" w:cs="楷体"/>
          <w:color w:val="auto"/>
          <w:lang w:val="en-US" w:eastAsia="zh-CN"/>
        </w:rPr>
        <w:t>（五）事故相关检验检测和鉴定情况</w:t>
      </w:r>
      <w:bookmarkEnd w:id="162"/>
      <w:bookmarkEnd w:id="163"/>
      <w:bookmarkEnd w:id="164"/>
      <w:bookmarkEnd w:id="165"/>
      <w:bookmarkEnd w:id="166"/>
      <w:bookmarkEnd w:id="167"/>
      <w:bookmarkEnd w:id="168"/>
      <w:bookmarkStart w:id="169" w:name="_Toc25076"/>
      <w:bookmarkStart w:id="170" w:name="_Toc16025"/>
      <w:bookmarkStart w:id="171" w:name="_Toc11012"/>
      <w:bookmarkStart w:id="172" w:name="_Toc11533"/>
      <w:bookmarkStart w:id="173" w:name="_Toc17579"/>
      <w:bookmarkStart w:id="174" w:name="_Toc20809"/>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喀什地区第一人民医院诊断证明书诊断意见为腰椎骨折。</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175" w:name="_Toc15956"/>
      <w:r>
        <w:rPr>
          <w:rFonts w:hint="eastAsia" w:ascii="楷体" w:hAnsi="楷体" w:eastAsia="楷体" w:cs="楷体"/>
          <w:color w:val="auto"/>
          <w:lang w:val="en-US" w:eastAsia="zh-CN"/>
        </w:rPr>
        <w:t>（六）</w:t>
      </w:r>
      <w:r>
        <w:rPr>
          <w:rFonts w:hint="default" w:ascii="楷体" w:hAnsi="楷体" w:eastAsia="楷体" w:cs="楷体"/>
          <w:color w:val="auto"/>
          <w:lang w:val="en-US" w:eastAsia="zh-CN"/>
        </w:rPr>
        <w:t>其他可能因素排除</w:t>
      </w:r>
      <w:bookmarkEnd w:id="169"/>
      <w:bookmarkEnd w:id="170"/>
      <w:bookmarkEnd w:id="171"/>
      <w:bookmarkEnd w:id="172"/>
      <w:bookmarkEnd w:id="173"/>
      <w:bookmarkEnd w:id="174"/>
      <w:bookmarkEnd w:id="175"/>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通过事故现场勘查、询问</w:t>
      </w:r>
      <w:r>
        <w:rPr>
          <w:rFonts w:hint="eastAsia" w:ascii="Times New Roman" w:hAnsi="Times New Roman" w:eastAsia="仿宋_GB2312" w:cs="Times New Roman"/>
          <w:color w:val="auto"/>
          <w:sz w:val="32"/>
          <w:szCs w:val="32"/>
          <w:shd w:val="clear" w:color="auto" w:fill="FFFFFF"/>
          <w:lang w:val="en-US" w:eastAsia="zh-CN"/>
        </w:rPr>
        <w:t>笔录等资料</w:t>
      </w:r>
      <w:r>
        <w:rPr>
          <w:rFonts w:hint="default" w:ascii="Times New Roman" w:hAnsi="Times New Roman" w:eastAsia="仿宋_GB2312" w:cs="Times New Roman"/>
          <w:color w:val="auto"/>
          <w:sz w:val="32"/>
          <w:szCs w:val="32"/>
          <w:shd w:val="clear" w:color="auto" w:fill="FFFFFF"/>
          <w:lang w:val="en-US" w:eastAsia="zh-CN"/>
        </w:rPr>
        <w:t>分析，排除人为故意破坏、突发灾害因素等影响。</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0" w:firstLineChars="200"/>
        <w:textAlignment w:val="auto"/>
        <w:outlineLvl w:val="0"/>
        <w:rPr>
          <w:rFonts w:hint="default" w:ascii="黑体" w:hAnsi="黑体" w:eastAsia="黑体" w:cs="黑体"/>
          <w:b w:val="0"/>
          <w:bCs/>
          <w:color w:val="auto"/>
          <w:highlight w:val="none"/>
          <w:lang w:val="en-US" w:eastAsia="zh-CN"/>
        </w:rPr>
      </w:pPr>
      <w:bookmarkStart w:id="176" w:name="_Toc24227"/>
      <w:bookmarkStart w:id="177" w:name="_Toc28650"/>
      <w:bookmarkStart w:id="178" w:name="_Toc19909"/>
      <w:bookmarkStart w:id="179" w:name="_Toc14314"/>
      <w:bookmarkStart w:id="180" w:name="_Toc11773"/>
      <w:bookmarkStart w:id="181" w:name="_Toc29619"/>
      <w:bookmarkStart w:id="182" w:name="_Toc24609"/>
      <w:r>
        <w:rPr>
          <w:rFonts w:hint="default" w:ascii="黑体" w:hAnsi="黑体" w:eastAsia="黑体" w:cs="黑体"/>
          <w:b w:val="0"/>
          <w:bCs/>
          <w:color w:val="auto"/>
          <w:highlight w:val="none"/>
          <w:lang w:val="en-US" w:eastAsia="zh-CN"/>
        </w:rPr>
        <w:t>事故原因</w:t>
      </w:r>
      <w:bookmarkEnd w:id="176"/>
      <w:bookmarkEnd w:id="177"/>
      <w:bookmarkEnd w:id="178"/>
      <w:bookmarkEnd w:id="179"/>
      <w:bookmarkEnd w:id="180"/>
      <w:bookmarkEnd w:id="181"/>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183" w:name="_Toc14135"/>
      <w:bookmarkStart w:id="184" w:name="_Toc5856"/>
      <w:bookmarkStart w:id="185" w:name="_Toc11859"/>
      <w:bookmarkStart w:id="186" w:name="_Toc12683"/>
      <w:bookmarkStart w:id="187" w:name="_Toc872"/>
      <w:bookmarkStart w:id="188" w:name="_Toc25601"/>
      <w:r>
        <w:rPr>
          <w:rFonts w:hint="eastAsia" w:ascii="楷体" w:hAnsi="楷体" w:eastAsia="楷体" w:cs="楷体"/>
          <w:color w:val="auto"/>
          <w:lang w:val="en-US" w:eastAsia="zh-CN"/>
        </w:rPr>
        <w:t>（一）</w:t>
      </w:r>
      <w:r>
        <w:rPr>
          <w:rFonts w:hint="default" w:ascii="楷体" w:hAnsi="楷体" w:eastAsia="楷体" w:cs="楷体"/>
          <w:color w:val="auto"/>
          <w:lang w:val="en-US" w:eastAsia="zh-CN"/>
        </w:rPr>
        <w:t>直接原因</w:t>
      </w:r>
      <w:bookmarkEnd w:id="183"/>
      <w:bookmarkEnd w:id="184"/>
      <w:bookmarkEnd w:id="185"/>
      <w:bookmarkEnd w:id="186"/>
      <w:bookmarkEnd w:id="187"/>
      <w:bookmarkEnd w:id="188"/>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bookmarkStart w:id="189" w:name="_Toc31380"/>
      <w:bookmarkStart w:id="190" w:name="_Toc539"/>
      <w:bookmarkStart w:id="191" w:name="_Toc4210"/>
      <w:r>
        <w:rPr>
          <w:rFonts w:hint="eastAsia"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挖掘机驾驶员未取得大型工程机械设备操作证（现有证件:建设工程机械施行业职业技能培训合格证，发放单位为吉林省建机职业技能鉴定中心），非农机监理机构认可的证件，经农机监理机构核实属无证驾驶。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现场安全管理混乱，在进行挖掘作业时，未安排专门人员进行现场安全管理，未设置警戒区域、警示标志；挖掘机清理出来的土方随即堆积在挖掘机机身与管沟之间，形成了约1米高的土方障碍物影响到挖掘机司机视线。</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eastAsia" w:ascii="楷体" w:hAnsi="楷体" w:eastAsia="楷体" w:cs="楷体"/>
          <w:color w:val="auto"/>
          <w:lang w:val="en-US" w:eastAsia="zh-CN"/>
        </w:rPr>
      </w:pPr>
      <w:bookmarkStart w:id="192" w:name="_Toc21593"/>
      <w:bookmarkStart w:id="193" w:name="_Toc6939"/>
      <w:bookmarkStart w:id="194" w:name="_Toc4999"/>
      <w:bookmarkStart w:id="195" w:name="_Toc23151"/>
      <w:bookmarkStart w:id="196" w:name="_Toc18649"/>
      <w:bookmarkStart w:id="197" w:name="_Toc18378"/>
      <w:r>
        <w:rPr>
          <w:rFonts w:hint="eastAsia" w:ascii="楷体" w:hAnsi="楷体" w:eastAsia="楷体" w:cs="楷体"/>
          <w:color w:val="auto"/>
          <w:lang w:val="en-US" w:eastAsia="zh-CN"/>
        </w:rPr>
        <w:t>（二）间接原因</w:t>
      </w:r>
      <w:bookmarkEnd w:id="192"/>
      <w:bookmarkEnd w:id="193"/>
      <w:bookmarkEnd w:id="194"/>
      <w:bookmarkEnd w:id="195"/>
      <w:bookmarkEnd w:id="196"/>
      <w:bookmarkEnd w:id="197"/>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阿瓦提乡阿萨村（阿瓦提乡8村）作为该项目的建设单位，未有效履行安全生产主体责任，未履行工程施工承包合同中相关内容指派工程师和工程监理的义务，未有效对施工现场进行安全监督管理，未有效督促施工现场各类安全生产规章制度的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2.喀什市一峰装饰装潢工程店作为该项目的承包单位，安全生产法律意识不强，安全生产管理制度落实不到位，未有效对施工人员开展安全生产教育培训，对施工现场风险隐患辨识不到位，未采取有效措施消除生产安全事故隐患，未有效对施工现场进行安全监督管理，事故发生时现场管理人员不在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3.实际施工方吴X履职尽责不到位，安全意识淡薄，未对施工人员开展安全教育培训，未核实挖掘机司机上岗操作证，未对挖掘机司机做好技术交底并监督其安全作业，未向施工人员提供劳动防护用品，对施工现场风险隐患辨识不到位，在挖掘机进行挖土作业时，未安排专门人员进行现场安全管理，未设置警戒区域、未设置警示标志，未采取有效措施消除生产安全事故隐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4.挖掘机车主凯X违规聘用（达成口头协议、未签订相关合同）并安排未取得大型工程机械或者操作证人员参与生产经营活动，未对挖掘机司机进行有效监督并提醒司机作业时可能出现的安全隐患及注意事项。</w:t>
      </w:r>
    </w:p>
    <w:bookmarkEnd w:id="182"/>
    <w:bookmarkEnd w:id="189"/>
    <w:bookmarkEnd w:id="190"/>
    <w:bookmarkEnd w:id="191"/>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0" w:firstLineChars="200"/>
        <w:textAlignment w:val="auto"/>
        <w:outlineLvl w:val="0"/>
        <w:rPr>
          <w:rFonts w:hint="default" w:ascii="黑体" w:hAnsi="黑体" w:eastAsia="黑体" w:cs="黑体"/>
          <w:b w:val="0"/>
          <w:bCs/>
          <w:color w:val="auto"/>
          <w:highlight w:val="none"/>
          <w:lang w:val="en-US" w:eastAsia="zh-CN"/>
        </w:rPr>
      </w:pPr>
      <w:bookmarkStart w:id="198" w:name="_Toc10799"/>
      <w:bookmarkStart w:id="199" w:name="_Toc24195"/>
      <w:bookmarkStart w:id="200" w:name="_Toc8197"/>
      <w:bookmarkStart w:id="201" w:name="_Toc25474"/>
      <w:bookmarkStart w:id="202" w:name="_Toc12575"/>
      <w:bookmarkStart w:id="203" w:name="_Toc21720"/>
      <w:bookmarkStart w:id="204" w:name="_Toc16616"/>
      <w:bookmarkStart w:id="205" w:name="_Toc10222"/>
      <w:r>
        <w:rPr>
          <w:rFonts w:hint="default" w:ascii="黑体" w:hAnsi="黑体" w:eastAsia="黑体" w:cs="黑体"/>
          <w:b w:val="0"/>
          <w:bCs/>
          <w:color w:val="auto"/>
          <w:highlight w:val="none"/>
          <w:lang w:val="en-US" w:eastAsia="zh-CN"/>
        </w:rPr>
        <w:t>有关责任单位存在的主要问题</w:t>
      </w:r>
      <w:bookmarkEnd w:id="198"/>
      <w:bookmarkEnd w:id="199"/>
      <w:bookmarkEnd w:id="200"/>
      <w:bookmarkEnd w:id="201"/>
      <w:bookmarkEnd w:id="202"/>
      <w:bookmarkEnd w:id="203"/>
      <w:bookmarkEnd w:id="204"/>
      <w:bookmarkEnd w:id="205"/>
      <w:r>
        <w:rPr>
          <w:rFonts w:hint="default" w:ascii="黑体" w:hAnsi="黑体" w:eastAsia="黑体" w:cs="黑体"/>
          <w:b w:val="0"/>
          <w:bCs/>
          <w:color w:val="auto"/>
          <w:highlight w:val="none"/>
          <w:lang w:val="en-US" w:eastAsia="zh-CN"/>
        </w:rPr>
        <w:t xml:space="preserve"> </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206" w:name="_Toc18573"/>
      <w:bookmarkStart w:id="207" w:name="_Toc5164"/>
      <w:bookmarkStart w:id="208" w:name="_Toc25923"/>
      <w:bookmarkStart w:id="209" w:name="_Toc10477"/>
      <w:bookmarkStart w:id="210" w:name="_Toc3460"/>
      <w:bookmarkStart w:id="211" w:name="_Toc9582"/>
      <w:bookmarkStart w:id="212" w:name="_Toc22492"/>
      <w:bookmarkStart w:id="213" w:name="_Toc10478"/>
      <w:r>
        <w:rPr>
          <w:rFonts w:hint="default" w:ascii="楷体" w:hAnsi="楷体" w:eastAsia="楷体" w:cs="楷体"/>
          <w:color w:val="auto"/>
          <w:lang w:val="en-US" w:eastAsia="zh-CN"/>
        </w:rPr>
        <w:t>（一）事故</w:t>
      </w:r>
      <w:r>
        <w:rPr>
          <w:rFonts w:hint="eastAsia" w:ascii="楷体" w:hAnsi="楷体" w:eastAsia="楷体" w:cs="楷体"/>
          <w:color w:val="auto"/>
          <w:lang w:val="en-US" w:eastAsia="zh-CN"/>
        </w:rPr>
        <w:t>发生</w:t>
      </w:r>
      <w:r>
        <w:rPr>
          <w:rFonts w:hint="default" w:ascii="楷体" w:hAnsi="楷体" w:eastAsia="楷体" w:cs="楷体"/>
          <w:color w:val="auto"/>
          <w:lang w:val="en-US" w:eastAsia="zh-CN"/>
        </w:rPr>
        <w:t>单位</w:t>
      </w:r>
      <w:bookmarkEnd w:id="206"/>
      <w:bookmarkEnd w:id="207"/>
      <w:bookmarkEnd w:id="208"/>
      <w:bookmarkEnd w:id="209"/>
      <w:bookmarkEnd w:id="210"/>
      <w:bookmarkEnd w:id="211"/>
      <w:bookmarkEnd w:id="212"/>
      <w:bookmarkEnd w:id="21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喀什市一峰装饰装潢工程店，安全生产法律意识不强，主要负责人履职尽责不到位，2024年3月28日与吴X（个人）签订分包合同后未对施工现场进行有效地统一协调、统一管理，事故发生时现场管理人员不在岗，对施工现场安全生产管理责任落实不到位，施工前未有效对施工人员开展安全生产教育培训，未有效实施风险隐患排查治理制度，对施工现场风险隐患辨识不到位，未采取有效措施消除生产安全事故隐患。对伤者救治康复资助不力使其康复中断，导致伤者家属越级反映事故的发生。</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214" w:name="_Toc4647"/>
      <w:bookmarkStart w:id="215" w:name="_Toc21535"/>
      <w:bookmarkStart w:id="216" w:name="_Toc19289"/>
      <w:bookmarkStart w:id="217" w:name="_Toc15033"/>
      <w:bookmarkStart w:id="218" w:name="_Toc4398"/>
      <w:bookmarkStart w:id="219" w:name="_Toc16646"/>
      <w:bookmarkStart w:id="220" w:name="_Toc7255"/>
      <w:bookmarkStart w:id="221" w:name="_Toc15895"/>
      <w:r>
        <w:rPr>
          <w:rFonts w:hint="default" w:ascii="楷体" w:hAnsi="楷体" w:eastAsia="楷体" w:cs="楷体"/>
          <w:color w:val="auto"/>
          <w:lang w:val="en-US" w:eastAsia="zh-CN"/>
        </w:rPr>
        <w:t>（二）</w:t>
      </w:r>
      <w:bookmarkEnd w:id="214"/>
      <w:r>
        <w:rPr>
          <w:rFonts w:hint="eastAsia" w:ascii="楷体" w:hAnsi="楷体" w:eastAsia="楷体" w:cs="楷体"/>
          <w:color w:val="auto"/>
          <w:lang w:val="en-US" w:eastAsia="zh-CN"/>
        </w:rPr>
        <w:t>有关监管部门</w:t>
      </w:r>
      <w:bookmarkEnd w:id="215"/>
      <w:bookmarkEnd w:id="216"/>
      <w:bookmarkEnd w:id="217"/>
      <w:bookmarkEnd w:id="218"/>
      <w:bookmarkEnd w:id="219"/>
      <w:bookmarkEnd w:id="220"/>
      <w:bookmarkEnd w:id="221"/>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阿瓦提乡人民政府，学习贯彻习近平总书记关于安全生产重要论述和指示精神不深入、不到位，未能压紧党员领导干部责任链条，个别党员领导干部群众工作纪律不严，对当前正在开展的整治群众身边不正之风和腐败问题专项行动不重视，理解、学习、执行有偏差。对安全生产事故不重视，怀有“不出人命啥都好说！”的侥幸心理，事故发生后未在第一时间上报事故经过，未能有效处理受伤群众困难诉求，未有效推动安全生产各项措施落实落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2.阿瓦提乡阿萨村（阿瓦提乡8村）</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未履行工程施工承包合同中指派工程师和监理的义务，现场管理人员未常驻施工现场依法履职，事故发生时现场安全管理人员不在场，施工前未与承包单位签订专门的安全生产管理协议，未在承包合同中约定各自的安全生产管理职责，未对承包方的安全生产工作统一协调、管理，定期进行安全检查。</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0" w:firstLineChars="200"/>
        <w:textAlignment w:val="auto"/>
        <w:outlineLvl w:val="0"/>
        <w:rPr>
          <w:rFonts w:hint="default" w:ascii="黑体" w:hAnsi="黑体" w:eastAsia="黑体" w:cs="黑体"/>
          <w:b w:val="0"/>
          <w:bCs/>
          <w:color w:val="auto"/>
          <w:highlight w:val="none"/>
          <w:lang w:val="en-US" w:eastAsia="zh-CN"/>
        </w:rPr>
      </w:pPr>
      <w:bookmarkStart w:id="222" w:name="_Toc26182"/>
      <w:bookmarkStart w:id="223" w:name="_Toc18304"/>
      <w:bookmarkStart w:id="224" w:name="_Toc21952"/>
      <w:bookmarkStart w:id="225" w:name="_Toc10395"/>
      <w:bookmarkStart w:id="226" w:name="_Toc23542"/>
      <w:bookmarkStart w:id="227" w:name="_Toc422"/>
      <w:bookmarkStart w:id="228" w:name="_Toc30795"/>
      <w:bookmarkStart w:id="229" w:name="_Toc27951"/>
      <w:r>
        <w:rPr>
          <w:rFonts w:hint="default" w:ascii="黑体" w:hAnsi="黑体" w:eastAsia="黑体" w:cs="黑体"/>
          <w:b w:val="0"/>
          <w:bCs/>
          <w:color w:val="auto"/>
          <w:highlight w:val="none"/>
          <w:lang w:val="en-US" w:eastAsia="zh-CN"/>
        </w:rPr>
        <w:t>对有关责任人员和单位的处理建议</w:t>
      </w:r>
      <w:bookmarkEnd w:id="222"/>
      <w:bookmarkEnd w:id="223"/>
      <w:bookmarkEnd w:id="224"/>
      <w:bookmarkEnd w:id="225"/>
      <w:bookmarkEnd w:id="226"/>
      <w:bookmarkEnd w:id="227"/>
      <w:bookmarkEnd w:id="228"/>
      <w:bookmarkEnd w:id="229"/>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230" w:name="_Toc11868"/>
      <w:bookmarkStart w:id="231" w:name="_Toc8089"/>
      <w:bookmarkStart w:id="232" w:name="_Toc31747"/>
      <w:bookmarkStart w:id="233" w:name="_Toc4360"/>
      <w:bookmarkStart w:id="234" w:name="_Toc15749"/>
      <w:bookmarkStart w:id="235" w:name="_Toc13154"/>
      <w:bookmarkStart w:id="236" w:name="_Toc20044"/>
      <w:bookmarkStart w:id="237" w:name="_Toc24392"/>
      <w:r>
        <w:rPr>
          <w:rFonts w:hint="default" w:ascii="楷体" w:hAnsi="楷体" w:eastAsia="楷体" w:cs="楷体"/>
          <w:color w:val="auto"/>
          <w:lang w:val="en-US" w:eastAsia="zh-CN"/>
        </w:rPr>
        <w:t>（一）</w:t>
      </w:r>
      <w:bookmarkEnd w:id="230"/>
      <w:bookmarkEnd w:id="231"/>
      <w:bookmarkEnd w:id="232"/>
      <w:bookmarkEnd w:id="233"/>
      <w:bookmarkEnd w:id="234"/>
      <w:bookmarkEnd w:id="235"/>
      <w:bookmarkEnd w:id="236"/>
      <w:bookmarkStart w:id="238" w:name="_Toc26408"/>
      <w:bookmarkStart w:id="239" w:name="_Toc14004"/>
      <w:bookmarkStart w:id="240" w:name="_Toc18461"/>
      <w:bookmarkStart w:id="241" w:name="_Toc9567"/>
      <w:bookmarkStart w:id="242" w:name="_Toc22"/>
      <w:r>
        <w:rPr>
          <w:rFonts w:hint="eastAsia" w:ascii="楷体" w:hAnsi="楷体" w:eastAsia="楷体" w:cs="楷体"/>
          <w:color w:val="auto"/>
          <w:lang w:val="en-US" w:eastAsia="zh-CN"/>
        </w:rPr>
        <w:t>对有关公职人员的处理建议</w:t>
      </w:r>
      <w:bookmarkEnd w:id="237"/>
      <w:bookmarkEnd w:id="238"/>
      <w:bookmarkEnd w:id="239"/>
      <w:bookmarkEnd w:id="240"/>
      <w:bookmarkEnd w:id="241"/>
      <w:bookmarkEnd w:id="242"/>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王XX，男，汉族，中共党员，2022年6月任喀什市阿瓦提乡人民政府党委书记，未有效履行安全生产“党政同责、一岗双责”的法定职责，安全生产红线意识不强、安全发展理念树的不牢，对安全生产工作重视程度不够，得知施工场地发生事故情况后，未及时向负有安全生产职责的部门上报，对整治群众身边不正之风和腐败问题专项行动认识不到位，对事故发生负有重要领导责任，建议由喀什市纪委监委对其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李X，男，汉族，中共党员，2023年6月任喀什市阿瓦提乡党委委员、常务副乡长，分管财经、乡村振兴工作，作为阿瓦提乡8村下水道维修工程的阿瓦提乡人民政府具体负责人，安全生产红线意识不强、对该项目统筹协调不到位，未压实工程承包方事故责任，未安排人员对项目进行现场监督，未积极协调伤者和施工方治疗有关事宜，对整治群众身边不正之风和腐败问题专项行动落实不到位，对事故发生负有主要领导责任，建议由喀什市纪委监委对其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3.郭X，男，汉族，中共党员，2022年4月担任阿瓦提乡党委委员、武装部长，具体分管安全生产工作。安全生产红线意识不强、安全发展理念树的不牢，对党纪国法缺乏敬畏，工作涉嫌失职、渎职，对安全生产工作重视程度不够，对施工单位落实各项安全生产操作规程的情况监督管理不到位，对存在的安全隐患制止不力，在得知事故情况后，未及时向负有安全生产职责的部门和乡人民政府主要领导上报，对事故发生负有主要领导责任，建议由喀什市纪委监委对其进行处理。</w:t>
      </w:r>
    </w:p>
    <w:p>
      <w:pPr>
        <w:pStyle w:val="4"/>
        <w:rPr>
          <w:rFonts w:hint="default"/>
          <w:b w:val="0"/>
          <w:bCs/>
          <w:lang w:val="en-US" w:eastAsia="zh-CN"/>
        </w:rPr>
      </w:pPr>
      <w:r>
        <w:rPr>
          <w:rFonts w:hint="eastAsia" w:ascii="Times New Roman" w:hAnsi="Times New Roman" w:eastAsia="仿宋_GB2312" w:cs="Times New Roman"/>
          <w:b w:val="0"/>
          <w:bCs/>
          <w:color w:val="auto"/>
          <w:sz w:val="32"/>
          <w:szCs w:val="32"/>
          <w:shd w:val="clear" w:color="auto" w:fill="FFFFFF"/>
          <w:lang w:val="en-US" w:eastAsia="zh-CN"/>
        </w:rPr>
        <w:t>4.艾X，男，维吾尔族，中共党员，2023年6月担任阿瓦提乡阿萨村（阿瓦提乡8村）党支部书记兼村委会主任，主要负责党建、综合治理、安全生产等工作。任职期间未有效监管喀什市阿瓦提乡阿萨村下水管网塌方维修项目方落实安全生产主体责任，未认真贯彻落实市委、市政府安全生产会议精神，未及时发现并督促整改施工现场存在的安全隐患，对事故发生负有直接领导责任。建议由喀什市阿瓦提乡党委对其进行处理。</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243" w:name="_Toc25188"/>
      <w:bookmarkStart w:id="244" w:name="_Toc17505"/>
      <w:bookmarkStart w:id="245" w:name="_Toc29532"/>
      <w:bookmarkStart w:id="246" w:name="_Toc1685"/>
      <w:bookmarkStart w:id="247" w:name="_Toc9244"/>
      <w:bookmarkStart w:id="248" w:name="_Toc27019"/>
      <w:r>
        <w:rPr>
          <w:rFonts w:hint="eastAsia" w:ascii="楷体" w:hAnsi="楷体" w:eastAsia="楷体" w:cs="楷体"/>
          <w:color w:val="auto"/>
          <w:lang w:val="en-US" w:eastAsia="zh-CN"/>
        </w:rPr>
        <w:t>（二）对事故有关责任人员的行政处罚</w:t>
      </w:r>
      <w:bookmarkEnd w:id="243"/>
      <w:bookmarkEnd w:id="244"/>
      <w:bookmarkEnd w:id="245"/>
      <w:bookmarkEnd w:id="246"/>
      <w:bookmarkEnd w:id="247"/>
      <w:r>
        <w:rPr>
          <w:rFonts w:hint="eastAsia" w:ascii="楷体" w:hAnsi="楷体" w:eastAsia="楷体" w:cs="楷体"/>
          <w:color w:val="auto"/>
          <w:lang w:val="en-US" w:eastAsia="zh-CN"/>
        </w:rPr>
        <w:t>建议</w:t>
      </w:r>
      <w:bookmarkEnd w:id="248"/>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1.王X，男，汉族，身份证号：4127271987********，</w:t>
      </w:r>
      <w:r>
        <w:rPr>
          <w:rFonts w:hint="default" w:ascii="Times New Roman" w:hAnsi="Times New Roman" w:eastAsia="仿宋_GB2312" w:cs="Times New Roman"/>
          <w:color w:val="auto"/>
          <w:sz w:val="32"/>
          <w:szCs w:val="32"/>
          <w:shd w:val="clear" w:color="auto" w:fill="FFFFFF"/>
          <w:lang w:val="en-US" w:eastAsia="zh-CN"/>
        </w:rPr>
        <w:t>喀什市</w:t>
      </w:r>
      <w:r>
        <w:rPr>
          <w:rFonts w:hint="eastAsia" w:ascii="Times New Roman" w:hAnsi="Times New Roman" w:eastAsia="仿宋_GB2312" w:cs="Times New Roman"/>
          <w:color w:val="auto"/>
          <w:sz w:val="32"/>
          <w:szCs w:val="32"/>
          <w:shd w:val="clear" w:color="auto" w:fill="FFFFFF"/>
          <w:lang w:val="en-US" w:eastAsia="zh-CN"/>
        </w:rPr>
        <w:t>一峰装饰装潢工程店法人，未建立健全并落实本单位全员安全生产责任制，未组织制定并实施本单位安全生产规章制度和操作规程，未组织制定并实施本单位安全生产教育和培训计划，未组织建立并落实安全风险分级管控和隐患排查治理双重预防工作机制、未督促检查本单位的安全生产工作、及时消除事故隐患，未组织制定并实施本单位的生产安全事故应急救援预案</w:t>
      </w:r>
      <w:r>
        <w:rPr>
          <w:rFonts w:hint="eastAsia" w:ascii="Times New Roman" w:hAnsi="Times New Roman" w:eastAsia="仿宋_GB2312" w:cs="Times New Roman"/>
          <w:color w:val="auto"/>
          <w:sz w:val="32"/>
          <w:szCs w:val="32"/>
          <w:shd w:val="clear" w:color="auto" w:fill="FFFFFF"/>
          <w:lang w:val="en" w:eastAsia="zh-CN"/>
        </w:rPr>
        <w:t>，</w:t>
      </w:r>
      <w:r>
        <w:rPr>
          <w:rFonts w:hint="default" w:ascii="Times New Roman" w:hAnsi="Times New Roman" w:eastAsia="仿宋_GB2312" w:cs="Times New Roman"/>
          <w:color w:val="auto"/>
          <w:sz w:val="32"/>
          <w:szCs w:val="32"/>
          <w:shd w:val="clear" w:color="auto" w:fill="FFFFFF"/>
          <w:lang w:val="en-US" w:eastAsia="zh-CN"/>
        </w:rPr>
        <w:t>违反</w:t>
      </w:r>
      <w:r>
        <w:rPr>
          <w:rFonts w:hint="eastAsia" w:ascii="Times New Roman" w:hAnsi="Times New Roman" w:eastAsia="仿宋_GB2312" w:cs="Times New Roman"/>
          <w:color w:val="auto"/>
          <w:sz w:val="32"/>
          <w:szCs w:val="32"/>
          <w:shd w:val="clear" w:color="auto" w:fill="FFFFFF"/>
          <w:lang w:val="en-US" w:eastAsia="zh-CN"/>
        </w:rPr>
        <w:t>《中华人民共和国安全生产法》第二十一条第一项至第六项</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0"/>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的相关规定，对事故的发生负有主要管理责任，建议由市应急管理局依据《中华人民共和国安全生产法》第九十五条第一项</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1"/>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的规定，对王X进行处理。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2、吴X，男，汉族，身份证号：5122221972*******，喀什市阿瓦提乡8村下水管道维修项目负责人，未组织该项目施工人员开展安全生产教育和培训，未</w:t>
      </w:r>
      <w:r>
        <w:rPr>
          <w:rFonts w:hint="default" w:ascii="Times New Roman" w:hAnsi="Times New Roman" w:eastAsia="仿宋_GB2312" w:cs="Times New Roman"/>
          <w:color w:val="auto"/>
          <w:sz w:val="32"/>
          <w:szCs w:val="32"/>
          <w:shd w:val="clear" w:color="auto" w:fill="FFFFFF"/>
          <w:lang w:val="en-US" w:eastAsia="zh-CN"/>
        </w:rPr>
        <w:t>及时排查生产安全事故隐患，</w:t>
      </w:r>
      <w:r>
        <w:rPr>
          <w:rFonts w:hint="eastAsia" w:ascii="Times New Roman" w:hAnsi="Times New Roman" w:eastAsia="仿宋_GB2312" w:cs="Times New Roman"/>
          <w:color w:val="auto"/>
          <w:sz w:val="32"/>
          <w:szCs w:val="32"/>
          <w:shd w:val="clear" w:color="auto" w:fill="FFFFFF"/>
          <w:lang w:val="en-US" w:eastAsia="zh-CN"/>
        </w:rPr>
        <w:t>未</w:t>
      </w:r>
      <w:r>
        <w:rPr>
          <w:rFonts w:hint="default" w:ascii="Times New Roman" w:hAnsi="Times New Roman" w:eastAsia="仿宋_GB2312" w:cs="Times New Roman"/>
          <w:color w:val="auto"/>
          <w:sz w:val="32"/>
          <w:szCs w:val="32"/>
          <w:shd w:val="clear" w:color="auto" w:fill="FFFFFF"/>
          <w:lang w:val="en-US" w:eastAsia="zh-CN"/>
        </w:rPr>
        <w:t>制止和纠正违反操作规程的行为</w:t>
      </w:r>
      <w:r>
        <w:rPr>
          <w:rFonts w:hint="eastAsia" w:ascii="Times New Roman" w:hAnsi="Times New Roman" w:eastAsia="仿宋_GB2312" w:cs="Times New Roman"/>
          <w:color w:val="auto"/>
          <w:sz w:val="32"/>
          <w:szCs w:val="32"/>
          <w:shd w:val="clear" w:color="auto" w:fill="FFFFFF"/>
          <w:lang w:val="en-US" w:eastAsia="zh-CN"/>
        </w:rPr>
        <w:t>，违反《中华人民共和国安全生产法》第二十五条第二项、第三项、第六项</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2"/>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的规定，对事故的发生负有主要管理责任，建议由市应急管理局依据《中华人民共和国安全生产法》第九十六条</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3"/>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的规定，对吴X进行处理。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3.张X，男，汉族，身份证号：6205241993********，喀什市阿瓦提乡阿萨村下水管网塌方维修项目（包工包料）现场负责人，未对施工现场进行安全生产监督管理，未</w:t>
      </w:r>
      <w:r>
        <w:rPr>
          <w:rFonts w:hint="default" w:ascii="Times New Roman" w:hAnsi="Times New Roman" w:eastAsia="仿宋_GB2312" w:cs="Times New Roman"/>
          <w:color w:val="auto"/>
          <w:sz w:val="32"/>
          <w:szCs w:val="32"/>
          <w:shd w:val="clear" w:color="auto" w:fill="FFFFFF"/>
          <w:lang w:val="en-US" w:eastAsia="zh-CN"/>
        </w:rPr>
        <w:t>及时排查生产安全事故隐患，</w:t>
      </w:r>
      <w:r>
        <w:rPr>
          <w:rFonts w:hint="eastAsia" w:ascii="Times New Roman" w:hAnsi="Times New Roman" w:eastAsia="仿宋_GB2312" w:cs="Times New Roman"/>
          <w:color w:val="auto"/>
          <w:sz w:val="32"/>
          <w:szCs w:val="32"/>
          <w:shd w:val="clear" w:color="auto" w:fill="FFFFFF"/>
          <w:lang w:val="en-US" w:eastAsia="zh-CN"/>
        </w:rPr>
        <w:t>对存在的安全隐患制止不力，事故发生时不在事故现场，违反《中华人民共和国安全生产法》第二十五条第二项、第三项、第六项</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4"/>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及第</w:t>
      </w:r>
      <w:r>
        <w:rPr>
          <w:rFonts w:hint="eastAsia" w:ascii="Times New Roman" w:hAnsi="Times New Roman" w:eastAsia="仿宋_GB2312" w:cs="Times New Roman"/>
          <w:color w:val="auto"/>
          <w:sz w:val="32"/>
          <w:szCs w:val="32"/>
          <w:shd w:val="clear" w:color="auto" w:fill="FFFFFF"/>
          <w:lang w:val="en" w:eastAsia="zh-CN"/>
        </w:rPr>
        <w:t>四十六条</w:t>
      </w:r>
      <w:r>
        <w:rPr>
          <w:rFonts w:hint="eastAsia" w:ascii="Times New Roman" w:hAnsi="Times New Roman" w:eastAsia="仿宋_GB2312" w:cs="Times New Roman"/>
          <w:color w:val="auto"/>
          <w:sz w:val="32"/>
          <w:szCs w:val="32"/>
          <w:shd w:val="clear" w:color="auto" w:fill="FFFFFF"/>
          <w:lang w:val="en-US" w:eastAsia="zh-CN"/>
        </w:rPr>
        <w:t>第一款</w:t>
      </w:r>
      <w:r>
        <w:rPr>
          <w:rStyle w:val="18"/>
          <w:rFonts w:hint="eastAsia" w:ascii="Times New Roman" w:hAnsi="Times New Roman" w:eastAsia="仿宋_GB2312" w:cs="Times New Roman"/>
          <w:color w:val="auto"/>
          <w:sz w:val="32"/>
          <w:szCs w:val="32"/>
          <w:shd w:val="clear" w:color="auto" w:fill="FFFFFF"/>
          <w:lang w:val="en" w:eastAsia="zh-CN"/>
        </w:rPr>
        <w:t>[</w:t>
      </w:r>
      <w:r>
        <w:rPr>
          <w:rStyle w:val="18"/>
          <w:rFonts w:hint="eastAsia" w:ascii="Times New Roman" w:hAnsi="Times New Roman" w:eastAsia="仿宋_GB2312" w:cs="Times New Roman"/>
          <w:color w:val="auto"/>
          <w:sz w:val="32"/>
          <w:szCs w:val="32"/>
          <w:shd w:val="clear" w:color="auto" w:fill="FFFFFF"/>
          <w:lang w:val="en" w:eastAsia="zh-CN"/>
        </w:rPr>
        <w:footnoteReference w:id="5"/>
      </w:r>
      <w:r>
        <w:rPr>
          <w:rStyle w:val="18"/>
          <w:rFonts w:hint="eastAsia" w:ascii="Times New Roman" w:hAnsi="Times New Roman" w:eastAsia="仿宋_GB2312" w:cs="Times New Roman"/>
          <w:color w:val="auto"/>
          <w:sz w:val="32"/>
          <w:szCs w:val="32"/>
          <w:shd w:val="clear" w:color="auto" w:fill="FFFFFF"/>
          <w:lang w:val="en" w:eastAsia="zh-CN"/>
        </w:rPr>
        <w:t>]</w:t>
      </w:r>
      <w:r>
        <w:rPr>
          <w:rFonts w:hint="eastAsia" w:ascii="Times New Roman" w:hAnsi="Times New Roman" w:eastAsia="仿宋_GB2312" w:cs="Times New Roman"/>
          <w:color w:val="auto"/>
          <w:sz w:val="32"/>
          <w:szCs w:val="32"/>
          <w:shd w:val="clear" w:color="auto" w:fill="FFFFFF"/>
          <w:lang w:val="en-US" w:eastAsia="zh-CN"/>
        </w:rPr>
        <w:t>的规定，对事故的发生负有管理责任，建议由市应急管理局依据《中华人民共和国安全生产法》第九十六条</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6"/>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的有关规定，对张X进行处理。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4.艾XX，男，维吾尔族，群众，身份证号：653121199111******，事故现场挖掘机司机，无证驾驶并违规操作履带式挖掘机进行挖土作业，违反《新疆维吾尔自治区大型工程机械设备和车辆安全监督管理办法》（新疆维吾尔自治区人民政府令）第204号第十五条第一款</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7"/>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的规定，对事故的发生负有直接责任，建议由市农业农村局依据《新疆维吾尔自治区大型工程机械设备和车辆安全监督管理办法》（新疆维吾尔自治区人民政府令）第204号第二十九条</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8"/>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的有关规定，对艾XX进行处理。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5.凯X，男，维吾尔族，群众，身份证号：6531011988*******，事故现场挖掘机车主，聘用（达口头协议，未签订合同）未取得大型工程机械设备操作证人员上岗作业，未对挖掘机司机进行技术交底并提醒施工注意事项，违反《</w:t>
      </w:r>
      <w:bookmarkStart w:id="249" w:name="_Toc78896654"/>
      <w:r>
        <w:rPr>
          <w:rFonts w:hint="eastAsia" w:ascii="Times New Roman" w:hAnsi="Times New Roman" w:eastAsia="仿宋_GB2312" w:cs="Times New Roman"/>
          <w:color w:val="auto"/>
          <w:sz w:val="32"/>
          <w:szCs w:val="32"/>
          <w:shd w:val="clear" w:color="auto" w:fill="FFFFFF"/>
          <w:lang w:val="en-US" w:eastAsia="zh-CN"/>
        </w:rPr>
        <w:t>安全生产违法行为行政处罚办法</w:t>
      </w:r>
      <w:bookmarkEnd w:id="249"/>
      <w:r>
        <w:rPr>
          <w:rFonts w:hint="eastAsia" w:ascii="Times New Roman" w:hAnsi="Times New Roman" w:eastAsia="仿宋_GB2312" w:cs="Times New Roman"/>
          <w:color w:val="auto"/>
          <w:sz w:val="32"/>
          <w:szCs w:val="32"/>
          <w:shd w:val="clear" w:color="auto" w:fill="FFFFFF"/>
          <w:lang w:val="en-US" w:eastAsia="zh-CN"/>
        </w:rPr>
        <w:t>》第四十五条第一项</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9"/>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的规定，对事故的发生负有管理责任，建议由市应急管理局依据《安全生产违法行为行政处罚办法》第四十五条第一项</w:t>
      </w:r>
      <w:r>
        <w:rPr>
          <w:rStyle w:val="18"/>
          <w:rFonts w:hint="eastAsia" w:ascii="Times New Roman" w:hAnsi="Times New Roman" w:eastAsia="仿宋_GB2312" w:cs="Times New Roman"/>
          <w:color w:val="auto"/>
          <w:sz w:val="32"/>
          <w:szCs w:val="32"/>
          <w:shd w:val="clear" w:color="auto" w:fill="FFFFFF"/>
          <w:lang w:val="en-US" w:eastAsia="zh-CN"/>
        </w:rPr>
        <w:t>[10]</w:t>
      </w:r>
      <w:r>
        <w:rPr>
          <w:rFonts w:hint="eastAsia" w:ascii="Times New Roman" w:hAnsi="Times New Roman" w:eastAsia="仿宋_GB2312" w:cs="Times New Roman"/>
          <w:color w:val="auto"/>
          <w:sz w:val="32"/>
          <w:szCs w:val="32"/>
          <w:shd w:val="clear" w:color="auto" w:fill="FFFFFF"/>
          <w:lang w:val="en-US" w:eastAsia="zh-CN"/>
        </w:rPr>
        <w:t>的规定，对凯X进行处理。</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eastAsia" w:ascii="楷体" w:hAnsi="楷体" w:eastAsia="楷体" w:cs="楷体"/>
          <w:color w:val="auto"/>
          <w:lang w:val="en-US" w:eastAsia="zh-CN"/>
        </w:rPr>
      </w:pPr>
      <w:bookmarkStart w:id="250" w:name="_Toc19412"/>
      <w:bookmarkStart w:id="251" w:name="_Toc8216"/>
      <w:bookmarkStart w:id="252" w:name="_Toc8137"/>
      <w:bookmarkStart w:id="253" w:name="_Toc26642"/>
      <w:bookmarkStart w:id="254" w:name="_Toc7997"/>
      <w:bookmarkStart w:id="255" w:name="_Toc23389"/>
      <w:r>
        <w:rPr>
          <w:rFonts w:hint="eastAsia" w:ascii="楷体" w:hAnsi="楷体" w:eastAsia="楷体" w:cs="楷体"/>
          <w:color w:val="auto"/>
          <w:lang w:val="en-US" w:eastAsia="zh-CN"/>
        </w:rPr>
        <w:t>（三）对事故有关责任单位的行政处罚建议</w:t>
      </w:r>
      <w:bookmarkEnd w:id="250"/>
      <w:bookmarkEnd w:id="251"/>
      <w:bookmarkEnd w:id="252"/>
      <w:bookmarkEnd w:id="253"/>
      <w:bookmarkEnd w:id="254"/>
      <w:bookmarkEnd w:id="255"/>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喀什市</w:t>
      </w:r>
      <w:r>
        <w:rPr>
          <w:rFonts w:hint="eastAsia" w:ascii="Times New Roman" w:hAnsi="Times New Roman" w:eastAsia="仿宋_GB2312" w:cs="Times New Roman"/>
          <w:color w:val="auto"/>
          <w:sz w:val="32"/>
          <w:szCs w:val="32"/>
          <w:shd w:val="clear" w:color="auto" w:fill="FFFFFF"/>
          <w:lang w:val="en-US" w:eastAsia="zh-CN"/>
        </w:rPr>
        <w:t>一峰装饰装潢工程店，在喀什市阿瓦提乡阿萨村下水管网塌方维修项目（包工包料）施工过程中，</w:t>
      </w:r>
      <w:r>
        <w:rPr>
          <w:rFonts w:hint="eastAsia" w:ascii="Times New Roman" w:hAnsi="Times New Roman" w:eastAsia="仿宋_GB2312" w:cs="Times New Roman"/>
          <w:color w:val="auto"/>
          <w:sz w:val="32"/>
          <w:szCs w:val="32"/>
          <w:shd w:val="clear" w:color="auto" w:fill="FFFFFF"/>
          <w:lang w:val="en" w:eastAsia="zh-CN"/>
        </w:rPr>
        <w:t>生产经营项目</w:t>
      </w:r>
      <w:r>
        <w:rPr>
          <w:rFonts w:hint="eastAsia" w:ascii="Times New Roman" w:hAnsi="Times New Roman" w:eastAsia="仿宋_GB2312" w:cs="Times New Roman"/>
          <w:color w:val="auto"/>
          <w:sz w:val="32"/>
          <w:szCs w:val="32"/>
          <w:shd w:val="clear" w:color="auto" w:fill="FFFFFF"/>
          <w:lang w:val="en-US" w:eastAsia="zh-CN"/>
        </w:rPr>
        <w:t>分</w:t>
      </w:r>
      <w:r>
        <w:rPr>
          <w:rFonts w:hint="eastAsia" w:ascii="Times New Roman" w:hAnsi="Times New Roman" w:eastAsia="仿宋_GB2312" w:cs="Times New Roman"/>
          <w:color w:val="auto"/>
          <w:sz w:val="32"/>
          <w:szCs w:val="32"/>
          <w:shd w:val="clear" w:color="auto" w:fill="FFFFFF"/>
          <w:lang w:val="en" w:eastAsia="zh-CN"/>
        </w:rPr>
        <w:t>包</w:t>
      </w:r>
      <w:r>
        <w:rPr>
          <w:rFonts w:hint="eastAsia" w:ascii="Times New Roman" w:hAnsi="Times New Roman" w:eastAsia="仿宋_GB2312" w:cs="Times New Roman"/>
          <w:color w:val="auto"/>
          <w:sz w:val="32"/>
          <w:szCs w:val="32"/>
          <w:shd w:val="clear" w:color="auto" w:fill="FFFFFF"/>
          <w:lang w:val="en-US" w:eastAsia="zh-CN"/>
        </w:rPr>
        <w:t>给吴X（个人）</w:t>
      </w:r>
      <w:r>
        <w:rPr>
          <w:rFonts w:hint="eastAsia" w:ascii="Times New Roman" w:hAnsi="Times New Roman" w:eastAsia="仿宋_GB2312" w:cs="Times New Roman"/>
          <w:color w:val="auto"/>
          <w:sz w:val="32"/>
          <w:szCs w:val="32"/>
          <w:shd w:val="clear" w:color="auto" w:fill="FFFFFF"/>
          <w:lang w:val="en" w:eastAsia="zh-CN"/>
        </w:rPr>
        <w:t>，</w:t>
      </w:r>
      <w:r>
        <w:rPr>
          <w:rFonts w:hint="eastAsia" w:ascii="Times New Roman" w:hAnsi="Times New Roman" w:eastAsia="仿宋_GB2312" w:cs="Times New Roman"/>
          <w:color w:val="auto"/>
          <w:sz w:val="32"/>
          <w:szCs w:val="32"/>
          <w:shd w:val="clear" w:color="auto" w:fill="FFFFFF"/>
          <w:lang w:val="en-US" w:eastAsia="zh-CN"/>
        </w:rPr>
        <w:t>未与其</w:t>
      </w:r>
      <w:r>
        <w:rPr>
          <w:rFonts w:hint="eastAsia" w:ascii="Times New Roman" w:hAnsi="Times New Roman" w:eastAsia="仿宋_GB2312" w:cs="Times New Roman"/>
          <w:color w:val="auto"/>
          <w:sz w:val="32"/>
          <w:szCs w:val="32"/>
          <w:shd w:val="clear" w:color="auto" w:fill="FFFFFF"/>
          <w:lang w:val="en" w:eastAsia="zh-CN"/>
        </w:rPr>
        <w:t>签订专门的安全生产管理协议，或者在承包合同中约定各自的安全生产管理职责；</w:t>
      </w:r>
      <w:r>
        <w:rPr>
          <w:rFonts w:hint="eastAsia" w:ascii="Times New Roman" w:hAnsi="Times New Roman" w:eastAsia="仿宋_GB2312" w:cs="Times New Roman"/>
          <w:color w:val="auto"/>
          <w:sz w:val="32"/>
          <w:szCs w:val="32"/>
          <w:shd w:val="clear" w:color="auto" w:fill="FFFFFF"/>
          <w:lang w:val="en-US" w:eastAsia="zh-CN"/>
        </w:rPr>
        <w:t>未</w:t>
      </w:r>
      <w:r>
        <w:rPr>
          <w:rFonts w:hint="eastAsia" w:ascii="Times New Roman" w:hAnsi="Times New Roman" w:eastAsia="仿宋_GB2312" w:cs="Times New Roman"/>
          <w:color w:val="auto"/>
          <w:sz w:val="32"/>
          <w:szCs w:val="32"/>
          <w:shd w:val="clear" w:color="auto" w:fill="FFFFFF"/>
          <w:lang w:val="en" w:eastAsia="zh-CN"/>
        </w:rPr>
        <w:t>对承包单位的安全生产工作统一协调、管理，定期进行安全检查，发现安全问题的，及时督促整改</w:t>
      </w:r>
      <w:r>
        <w:rPr>
          <w:rFonts w:hint="eastAsia" w:ascii="Times New Roman" w:hAnsi="Times New Roman" w:eastAsia="仿宋_GB2312" w:cs="Times New Roman"/>
          <w:color w:val="auto"/>
          <w:sz w:val="32"/>
          <w:szCs w:val="32"/>
          <w:shd w:val="clear" w:color="auto" w:fill="FFFFFF"/>
          <w:lang w:val="en-US" w:eastAsia="zh-CN"/>
        </w:rPr>
        <w:t>，定期进行安全检查，</w:t>
      </w:r>
      <w:r>
        <w:rPr>
          <w:rFonts w:hint="default" w:ascii="Times New Roman" w:hAnsi="Times New Roman" w:eastAsia="仿宋_GB2312" w:cs="Times New Roman"/>
          <w:color w:val="auto"/>
          <w:sz w:val="32"/>
          <w:szCs w:val="32"/>
          <w:shd w:val="clear" w:color="auto" w:fill="FFFFFF"/>
          <w:lang w:val="en-US" w:eastAsia="zh-CN"/>
        </w:rPr>
        <w:t>违反</w:t>
      </w:r>
      <w:r>
        <w:rPr>
          <w:rFonts w:hint="eastAsia" w:ascii="Times New Roman" w:hAnsi="Times New Roman" w:eastAsia="仿宋_GB2312" w:cs="Times New Roman"/>
          <w:color w:val="auto"/>
          <w:sz w:val="32"/>
          <w:szCs w:val="32"/>
          <w:shd w:val="clear" w:color="auto" w:fill="FFFFFF"/>
          <w:lang w:val="en-US" w:eastAsia="zh-CN"/>
        </w:rPr>
        <w:t>《中华人民共和国安全生产法》</w:t>
      </w:r>
      <w:r>
        <w:rPr>
          <w:rFonts w:hint="eastAsia" w:ascii="Times New Roman" w:hAnsi="Times New Roman" w:eastAsia="仿宋_GB2312" w:cs="Times New Roman"/>
          <w:color w:val="auto"/>
          <w:sz w:val="32"/>
          <w:szCs w:val="32"/>
          <w:highlight w:val="none"/>
          <w:shd w:val="clear" w:color="auto" w:fill="FFFFFF"/>
          <w:lang w:val="en-US" w:eastAsia="zh-CN"/>
        </w:rPr>
        <w:t>第四十九条第二款</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10"/>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的规定，建议由市应急管理局依据《中华人民共和国安全生产法》第一百零三条第二款</w:t>
      </w:r>
      <w:r>
        <w:rPr>
          <w:rStyle w:val="18"/>
          <w:rFonts w:hint="eastAsia" w:ascii="Times New Roman" w:hAnsi="Times New Roman" w:eastAsia="仿宋_GB2312" w:cs="Times New Roman"/>
          <w:color w:val="auto"/>
          <w:sz w:val="32"/>
          <w:szCs w:val="32"/>
          <w:shd w:val="clear" w:color="auto" w:fill="FFFFFF"/>
          <w:lang w:val="en-US" w:eastAsia="zh-CN"/>
        </w:rPr>
        <w:t>[</w:t>
      </w:r>
      <w:r>
        <w:rPr>
          <w:rStyle w:val="18"/>
          <w:rFonts w:hint="eastAsia" w:ascii="Times New Roman" w:hAnsi="Times New Roman" w:eastAsia="仿宋_GB2312" w:cs="Times New Roman"/>
          <w:color w:val="auto"/>
          <w:sz w:val="32"/>
          <w:szCs w:val="32"/>
          <w:shd w:val="clear" w:color="auto" w:fill="FFFFFF"/>
          <w:lang w:val="en-US" w:eastAsia="zh-CN"/>
        </w:rPr>
        <w:footnoteReference w:id="11"/>
      </w:r>
      <w:r>
        <w:rPr>
          <w:rStyle w:val="18"/>
          <w:rFonts w:hint="eastAsia"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的有关规定，</w:t>
      </w:r>
      <w:r>
        <w:rPr>
          <w:rFonts w:hint="default" w:ascii="Times New Roman" w:hAnsi="Times New Roman" w:eastAsia="仿宋_GB2312" w:cs="Times New Roman"/>
          <w:color w:val="auto"/>
          <w:sz w:val="32"/>
          <w:szCs w:val="32"/>
          <w:shd w:val="clear" w:color="auto" w:fill="FFFFFF"/>
          <w:lang w:val="en-US" w:eastAsia="zh-CN"/>
        </w:rPr>
        <w:t>对喀什市</w:t>
      </w:r>
      <w:r>
        <w:rPr>
          <w:rFonts w:hint="eastAsia" w:ascii="Times New Roman" w:hAnsi="Times New Roman" w:eastAsia="仿宋_GB2312" w:cs="Times New Roman"/>
          <w:color w:val="auto"/>
          <w:sz w:val="32"/>
          <w:szCs w:val="32"/>
          <w:shd w:val="clear" w:color="auto" w:fill="FFFFFF"/>
          <w:lang w:val="en-US" w:eastAsia="zh-CN"/>
        </w:rPr>
        <w:t>一峰装饰装潢工程店实施行政处罚</w:t>
      </w:r>
      <w:r>
        <w:rPr>
          <w:rFonts w:hint="default" w:ascii="Times New Roman" w:hAnsi="Times New Roman" w:eastAsia="仿宋_GB2312" w:cs="Times New Roman"/>
          <w:color w:val="auto"/>
          <w:sz w:val="32"/>
          <w:szCs w:val="32"/>
          <w:shd w:val="clear" w:color="auto" w:fill="FFFFFF"/>
          <w:lang w:val="en-US" w:eastAsia="zh-CN"/>
        </w:rPr>
        <w:t>。</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0" w:firstLineChars="200"/>
        <w:textAlignment w:val="auto"/>
        <w:outlineLvl w:val="0"/>
        <w:rPr>
          <w:rFonts w:hint="eastAsia" w:ascii="黑体" w:hAnsi="黑体" w:eastAsia="黑体" w:cs="黑体"/>
          <w:b w:val="0"/>
          <w:bCs/>
          <w:color w:val="auto"/>
          <w:highlight w:val="none"/>
          <w:lang w:val="en-US" w:eastAsia="zh-CN"/>
        </w:rPr>
      </w:pPr>
      <w:bookmarkStart w:id="256" w:name="_Toc6602"/>
      <w:bookmarkStart w:id="257" w:name="_Toc23020"/>
      <w:bookmarkStart w:id="258" w:name="_Toc13595"/>
      <w:bookmarkStart w:id="259" w:name="_Toc11998"/>
      <w:bookmarkStart w:id="260" w:name="_Toc18898"/>
      <w:bookmarkStart w:id="261" w:name="_Toc20715"/>
      <w:bookmarkStart w:id="262" w:name="_Toc17498"/>
      <w:r>
        <w:rPr>
          <w:rFonts w:hint="eastAsia" w:ascii="黑体" w:hAnsi="黑体" w:eastAsia="黑体" w:cs="黑体"/>
          <w:b w:val="0"/>
          <w:bCs/>
          <w:color w:val="auto"/>
          <w:highlight w:val="none"/>
          <w:lang w:val="en-US" w:eastAsia="zh-CN"/>
        </w:rPr>
        <w:t>事故主要教训</w:t>
      </w:r>
      <w:bookmarkEnd w:id="256"/>
      <w:bookmarkEnd w:id="257"/>
      <w:bookmarkEnd w:id="258"/>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eastAsia" w:ascii="楷体" w:hAnsi="楷体" w:eastAsia="楷体" w:cs="楷体"/>
          <w:color w:val="auto"/>
          <w:lang w:val="en-US" w:eastAsia="zh-CN"/>
        </w:rPr>
      </w:pPr>
      <w:bookmarkStart w:id="263" w:name="_Toc16667"/>
      <w:bookmarkStart w:id="264" w:name="_Toc25227"/>
      <w:bookmarkStart w:id="265" w:name="_Toc26389"/>
      <w:r>
        <w:rPr>
          <w:rFonts w:hint="eastAsia" w:ascii="楷体" w:hAnsi="楷体" w:eastAsia="楷体" w:cs="楷体"/>
          <w:color w:val="auto"/>
          <w:lang w:val="en-US" w:eastAsia="zh-CN"/>
        </w:rPr>
        <w:t>（一）要进一步完善各项安全管理制度</w:t>
      </w:r>
      <w:bookmarkEnd w:id="263"/>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各单位、各部门的安全生产规章制度是安全生产管理的标准和规范，是国家安全生产法律、法规</w:t>
      </w:r>
      <w:bookmarkStart w:id="285" w:name="_GoBack"/>
      <w:bookmarkEnd w:id="285"/>
      <w:r>
        <w:rPr>
          <w:rFonts w:hint="eastAsia" w:ascii="Times New Roman" w:hAnsi="Times New Roman" w:eastAsia="仿宋_GB2312" w:cs="Times New Roman"/>
          <w:color w:val="auto"/>
          <w:sz w:val="32"/>
          <w:szCs w:val="32"/>
          <w:shd w:val="clear" w:color="auto" w:fill="FFFFFF"/>
          <w:lang w:val="en-US" w:eastAsia="zh-CN"/>
        </w:rPr>
        <w:t>的延伸。各行各业应根据国家安全生产法律、法规，结合本单位的实际，建立健全各类安全生产规章制度，使安全生产的各项工作都有章可循。</w:t>
      </w:r>
      <w:bookmarkEnd w:id="264"/>
      <w:bookmarkEnd w:id="265"/>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eastAsia" w:ascii="楷体" w:hAnsi="楷体" w:eastAsia="楷体" w:cs="楷体"/>
          <w:color w:val="auto"/>
          <w:lang w:val="en-US" w:eastAsia="zh-CN"/>
        </w:rPr>
      </w:pPr>
      <w:bookmarkStart w:id="266" w:name="_Toc1589"/>
      <w:bookmarkStart w:id="267" w:name="_Toc17920"/>
      <w:bookmarkStart w:id="268" w:name="_Toc28215"/>
      <w:r>
        <w:rPr>
          <w:rFonts w:hint="eastAsia" w:ascii="楷体" w:hAnsi="楷体" w:eastAsia="楷体" w:cs="楷体"/>
          <w:color w:val="auto"/>
          <w:lang w:val="en-US" w:eastAsia="zh-CN"/>
        </w:rPr>
        <w:t>（二）明确安全生产职责</w:t>
      </w:r>
      <w:bookmarkEnd w:id="266"/>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生产经营单位以本单位的安全生产责任制，明确本单位各岗位的从业人员的安全生产职责，使全体从业人员都知道“谁应该干什么”或“什么事应该由谁干”。避免为实现安全生产应干的事没有人干，有利于避免互相推诿，有利于各在其位、各司其职、各尽其责。</w:t>
      </w:r>
      <w:bookmarkEnd w:id="267"/>
      <w:bookmarkEnd w:id="268"/>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default" w:ascii="楷体" w:hAnsi="楷体" w:eastAsia="楷体" w:cs="楷体"/>
          <w:color w:val="auto"/>
          <w:lang w:val="en-US" w:eastAsia="zh-CN"/>
        </w:rPr>
      </w:pPr>
      <w:bookmarkStart w:id="269" w:name="_Toc3412"/>
      <w:bookmarkStart w:id="270" w:name="_Toc21665"/>
      <w:r>
        <w:rPr>
          <w:rFonts w:hint="eastAsia" w:ascii="楷体" w:hAnsi="楷体" w:eastAsia="楷体" w:cs="楷体"/>
          <w:color w:val="auto"/>
          <w:lang w:val="en-US" w:eastAsia="zh-CN"/>
        </w:rPr>
        <w:t>（三）</w:t>
      </w:r>
      <w:bookmarkEnd w:id="269"/>
      <w:r>
        <w:rPr>
          <w:rFonts w:hint="eastAsia" w:ascii="楷体" w:hAnsi="楷体" w:eastAsia="楷体" w:cs="楷体"/>
          <w:color w:val="auto"/>
          <w:lang w:val="en-US" w:eastAsia="zh-CN"/>
        </w:rPr>
        <w:t>强化安全生产闭环管理</w:t>
      </w:r>
      <w:bookmarkEnd w:id="270"/>
    </w:p>
    <w:bookmarkEnd w:id="259"/>
    <w:bookmarkEnd w:id="260"/>
    <w:bookmarkEnd w:id="261"/>
    <w:bookmarkEnd w:id="262"/>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bookmarkStart w:id="271" w:name="_Toc12134"/>
      <w:bookmarkStart w:id="272" w:name="_Toc28929"/>
      <w:bookmarkStart w:id="273" w:name="_Toc16430"/>
      <w:r>
        <w:rPr>
          <w:rFonts w:hint="eastAsia" w:ascii="Times New Roman" w:hAnsi="Times New Roman" w:eastAsia="仿宋_GB2312" w:cs="Times New Roman"/>
          <w:color w:val="auto"/>
          <w:sz w:val="32"/>
          <w:szCs w:val="32"/>
          <w:shd w:val="clear" w:color="auto" w:fill="FFFFFF"/>
          <w:lang w:val="en-US" w:eastAsia="zh-CN"/>
        </w:rPr>
        <w:t>建设单位在工程项目承包前签订承包合同时必须明确双方的安全生产职责，项目施工过程中要认真落实现场安全管理，严格落实安全管理员全过程监督，积极为现场施工人员提供所需劳动防护用品，扎实开展全方位安全隐患排查，及时消除发现的各类隐患，仔细辨识、研判施工项目可能存在的风险，制定可行性应急措施，积极组织施工人员开展安全教育培训和各类应急演练，确保施工项目安全生产全过程有效监督。</w:t>
      </w:r>
    </w:p>
    <w:p>
      <w:pPr>
        <w:pStyle w:val="4"/>
        <w:pageBreakBefore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eastAsia" w:ascii="楷体" w:hAnsi="楷体" w:eastAsia="楷体" w:cs="楷体"/>
          <w:color w:val="auto"/>
          <w:lang w:val="en-US" w:eastAsia="zh-CN"/>
        </w:rPr>
      </w:pPr>
      <w:bookmarkStart w:id="274" w:name="_Toc10019"/>
      <w:r>
        <w:rPr>
          <w:rFonts w:hint="eastAsia" w:ascii="楷体" w:hAnsi="楷体" w:eastAsia="楷体" w:cs="楷体"/>
          <w:color w:val="auto"/>
          <w:lang w:val="en-US" w:eastAsia="zh-CN"/>
        </w:rPr>
        <w:t>（四）切实树立群众利益无小事的理念</w:t>
      </w:r>
      <w:bookmarkEnd w:id="274"/>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此次事故充分透漏基层老百姓权利救济困难问题，各级党委党组需要加大维权服务力度，推动解决劳动报酬、社会保险、职业安全等突出问题，把他们吸引过来、组织起来、稳固下来，为他们系上“安全带”、戴上“安全帽”，帮助他们解决后顾之忧。</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firstLine="640" w:firstLineChars="200"/>
        <w:textAlignment w:val="auto"/>
        <w:outlineLvl w:val="0"/>
        <w:rPr>
          <w:rFonts w:hint="eastAsia" w:ascii="黑体" w:hAnsi="黑体" w:eastAsia="黑体" w:cs="黑体"/>
          <w:b w:val="0"/>
          <w:bCs/>
          <w:color w:val="auto"/>
          <w:highlight w:val="none"/>
          <w:lang w:val="en-US" w:eastAsia="zh-CN"/>
        </w:rPr>
      </w:pPr>
      <w:bookmarkStart w:id="275" w:name="_Toc29054"/>
      <w:r>
        <w:rPr>
          <w:rFonts w:hint="eastAsia" w:ascii="黑体" w:hAnsi="黑体" w:eastAsia="黑体" w:cs="黑体"/>
          <w:b w:val="0"/>
          <w:bCs/>
          <w:color w:val="auto"/>
          <w:highlight w:val="none"/>
          <w:lang w:val="en-US" w:eastAsia="zh-CN"/>
        </w:rPr>
        <w:t>事故整改和防范措施</w:t>
      </w:r>
      <w:bookmarkEnd w:id="271"/>
      <w:bookmarkEnd w:id="272"/>
      <w:bookmarkEnd w:id="275"/>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一）喀什市阿瓦提乡人民政府，要认真学习并贯彻落实习总书记关于安全生产的重要论述，按照职责分工分兵把口、严格履责，切实抓好分管行业领域安全生产工作，将安全生产与业务工作同安排部署、同组织实施、同监督检查要提高政治站位，强化安全生产意识，深刻汲取事故教训，牢固树立安全发展理念，狠抓风险事故防范，深入排查安全隐患，压实属地监管责任，聚焦重点领域，把严格控制和减少安全事故、防范和杜绝生产安全事故作为重中之重，坚决守住安全生产底线，强化齐抓共管机制、进一步严肃纪律规矩，真正管控好风险、整治掉隐患、夯实好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（二）</w:t>
      </w:r>
      <w:r>
        <w:rPr>
          <w:rFonts w:hint="eastAsia" w:ascii="Times New Roman" w:hAnsi="Times New Roman" w:eastAsia="仿宋_GB2312" w:cs="Times New Roman"/>
          <w:b w:val="0"/>
          <w:bCs/>
          <w:color w:val="auto"/>
          <w:sz w:val="32"/>
          <w:szCs w:val="32"/>
          <w:shd w:val="clear" w:color="auto" w:fill="FFFFFF"/>
          <w:lang w:val="en-US" w:eastAsia="zh-CN"/>
        </w:rPr>
        <w:t>阿瓦提乡阿萨村（阿瓦提乡8村），要充分吸取此次事故的教训，针对“4·6”事故暴露出管理方面存在的问题，加强安全生产专业知识的学习和培训，认真开展安全生产大检查，按照“全覆盖、零容忍、重实效”的要求，切实做到发现一处整改一处，确保安全防范措施落实到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（三）</w:t>
      </w:r>
      <w:r>
        <w:rPr>
          <w:rFonts w:hint="default" w:ascii="Times New Roman" w:hAnsi="Times New Roman" w:eastAsia="仿宋_GB2312" w:cs="Times New Roman"/>
          <w:color w:val="auto"/>
          <w:sz w:val="32"/>
          <w:szCs w:val="32"/>
          <w:shd w:val="clear" w:color="auto" w:fill="FFFFFF"/>
          <w:lang w:val="en-US" w:eastAsia="zh-CN"/>
        </w:rPr>
        <w:t>喀什市</w:t>
      </w:r>
      <w:r>
        <w:rPr>
          <w:rFonts w:hint="eastAsia" w:ascii="Times New Roman" w:hAnsi="Times New Roman" w:eastAsia="仿宋_GB2312" w:cs="Times New Roman"/>
          <w:color w:val="auto"/>
          <w:sz w:val="32"/>
          <w:szCs w:val="32"/>
          <w:shd w:val="clear" w:color="auto" w:fill="FFFFFF"/>
          <w:lang w:val="en-US" w:eastAsia="zh-CN"/>
        </w:rPr>
        <w:t>一峰装饰装潢工程店，要落实全员安全生产责任制，加强本单位安全生产教育培训，提高从业人员自保、互保能力和安全意识，加强安全生产管理，</w:t>
      </w:r>
      <w:r>
        <w:rPr>
          <w:rFonts w:hint="default" w:ascii="Times New Roman" w:hAnsi="Times New Roman" w:eastAsia="仿宋_GB2312" w:cs="Times New Roman"/>
          <w:color w:val="auto"/>
          <w:sz w:val="32"/>
          <w:szCs w:val="32"/>
          <w:shd w:val="clear" w:color="auto" w:fill="FFFFFF"/>
          <w:lang w:val="en-US" w:eastAsia="zh-CN"/>
        </w:rPr>
        <w:t>把安全生产摆在更加突出的位置</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要切实汲取事故教训，深刻反思自身存在的问题，严防类似的问题再次发生</w:t>
      </w:r>
      <w:r>
        <w:rPr>
          <w:rFonts w:hint="eastAsia" w:ascii="Times New Roman" w:hAnsi="Times New Roman" w:eastAsia="仿宋_GB2312" w:cs="Times New Roman"/>
          <w:color w:val="auto"/>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四）保障人民群众生命财产安全，压实监管责任。喀什市各有关部门深入学习贯彻习近平总书记关于安全生产重要批示精神，认真落实中央纪委国家监委和自治区党委部署要求，分析当前集中整治工作存在的问题，进一步压实各部门行业主体责任、监管责任，从条线上推动集中整治走深走实；要严格落实“党政同责、一岗双责、齐抓共管、失职追责”和“三管三必须”的要求，牢固树立红线意识，强化底线思维，建立动态监管台账，严格履行好安全监管职责，以最有力的防范措施、最过硬的工作作风，全力抓好安全生产各项工作，为全喀什各族人民群众、经济社会发展提供坚实的安全保障。喀什市农业农村局加强对各类大型工程机械的监督管理，严格审查车辆、驾驶员相关资质，杜绝设备“带病”运行，驾驶员无证操作。喀什市阿瓦提乡人民政府要结合当前正在开展的整治群众身边不正之风和腐败问题专项行动，紧盯伤者赔偿兑现事宜，切实保障伤者合法权益</w:t>
      </w:r>
      <w:bookmarkStart w:id="276" w:name="_Toc13349"/>
      <w:r>
        <w:rPr>
          <w:rFonts w:hint="eastAsia" w:ascii="Times New Roman" w:hAnsi="Times New Roman" w:eastAsia="仿宋_GB2312" w:cs="Times New Roman"/>
          <w:color w:val="auto"/>
          <w:sz w:val="32"/>
          <w:szCs w:val="32"/>
          <w:shd w:val="clear" w:color="auto" w:fill="FFFFFF"/>
          <w:lang w:val="en-US" w:eastAsia="zh-CN"/>
        </w:rPr>
        <w:t>。</w:t>
      </w:r>
      <w:bookmarkEnd w:id="273"/>
      <w:bookmarkEnd w:id="276"/>
      <w:bookmarkStart w:id="277" w:name="_Toc28189"/>
      <w:bookmarkStart w:id="278" w:name="_Toc486"/>
      <w:bookmarkStart w:id="279" w:name="_Toc21194"/>
      <w:bookmarkStart w:id="280" w:name="_Toc29225"/>
      <w:r>
        <w:rPr>
          <w:rFonts w:hint="eastAsia" w:ascii="仿宋_GB2312" w:hAnsi="仿宋_GB2312" w:eastAsia="仿宋_GB2312" w:cs="仿宋_GB2312"/>
          <w:color w:val="auto"/>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w:t>
      </w:r>
    </w:p>
    <w:p>
      <w:pPr>
        <w:keepNext w:val="0"/>
        <w:keepLines w:val="0"/>
        <w:pageBreakBefore w:val="0"/>
        <w:widowControl w:val="0"/>
        <w:numPr>
          <w:ilvl w:val="0"/>
          <w:numId w:val="0"/>
        </w:numPr>
        <w:tabs>
          <w:tab w:val="left" w:pos="5382"/>
        </w:tabs>
        <w:kinsoku/>
        <w:wordWrap/>
        <w:overflowPunct/>
        <w:topLinePunct w:val="0"/>
        <w:autoSpaceDE/>
        <w:autoSpaceDN/>
        <w:bidi w:val="0"/>
        <w:adjustRightInd/>
        <w:snapToGrid/>
        <w:spacing w:beforeAutospacing="0" w:line="560" w:lineRule="exact"/>
        <w:ind w:right="0"/>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w:t>
      </w:r>
      <w:bookmarkStart w:id="281" w:name="_Toc26995"/>
      <w:bookmarkStart w:id="282" w:name="_Toc10221"/>
      <w:bookmarkStart w:id="283" w:name="_Toc10690"/>
      <w:bookmarkStart w:id="284" w:name="_Toc30209"/>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4480" w:firstLineChars="1400"/>
        <w:textAlignment w:val="auto"/>
        <w:rPr>
          <w:rFonts w:hint="eastAsia" w:ascii="仿宋_GB2312" w:hAnsi="仿宋_GB2312" w:eastAsia="仿宋_GB2312" w:cs="仿宋_GB2312"/>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4480" w:firstLineChars="1400"/>
        <w:textAlignment w:val="auto"/>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喀什市人民政府事故调查组</w:t>
      </w:r>
      <w:bookmarkEnd w:id="277"/>
      <w:bookmarkEnd w:id="278"/>
      <w:bookmarkEnd w:id="279"/>
      <w:bookmarkEnd w:id="280"/>
      <w:bookmarkEnd w:id="281"/>
      <w:bookmarkEnd w:id="282"/>
      <w:bookmarkEnd w:id="283"/>
      <w:bookmarkEnd w:id="284"/>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firstLine="5440" w:firstLineChars="1700"/>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2024年8月5日</w:t>
      </w:r>
    </w:p>
    <w:sectPr>
      <w:footerReference r:id="rId7" w:type="default"/>
      <w:footnotePr>
        <w:numFmt w:val="decimal"/>
      </w:footnotePr>
      <w:pgSz w:w="11906" w:h="16838"/>
      <w:pgMar w:top="2098" w:right="1474" w:bottom="1984" w:left="1587" w:header="851" w:footer="992" w:gutter="0"/>
      <w:pgNumType w:fmt="decimal" w:start="1"/>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footnote>
  <w:footnote w:type="continuationSeparator" w:id="25">
    <w:p/>
  </w:footnote>
  <w:footnote w:id="0">
    <w:p>
      <w:pPr>
        <w:pStyle w:val="11"/>
        <w:keepNext w:val="0"/>
        <w:keepLines w:val="0"/>
        <w:pageBreakBefore w:val="0"/>
        <w:widowControl w:val="0"/>
        <w:kinsoku/>
        <w:wordWrap/>
        <w:overflowPunct/>
        <w:topLinePunct w:val="0"/>
        <w:autoSpaceDE/>
        <w:autoSpaceDN/>
        <w:bidi w:val="0"/>
        <w:adjustRightInd/>
        <w:snapToGrid w:val="0"/>
        <w:spacing w:line="200" w:lineRule="exact"/>
        <w:textAlignment w:val="auto"/>
        <w:rPr>
          <w:rFonts w:hint="default"/>
          <w:lang w:val="en-US"/>
        </w:rPr>
      </w:pPr>
      <w:r>
        <w:rPr>
          <w:rStyle w:val="18"/>
        </w:rPr>
        <w:t>[</w:t>
      </w:r>
      <w:r>
        <w:rPr>
          <w:rStyle w:val="18"/>
        </w:rPr>
        <w:footnoteRef/>
      </w:r>
      <w:r>
        <w:rPr>
          <w:rStyle w:val="18"/>
        </w:rPr>
        <w:t>]</w:t>
      </w:r>
      <w:r>
        <w:t xml:space="preserve"> </w:t>
      </w:r>
      <w:r>
        <w:rPr>
          <w:rFonts w:hint="eastAsia" w:ascii="方正仿宋_GBK" w:hAnsi="微软雅黑" w:eastAsia="方正仿宋_GBK"/>
          <w:color w:val="444444"/>
          <w:sz w:val="18"/>
          <w:szCs w:val="18"/>
          <w:lang w:val="en-US" w:eastAsia="zh-CN"/>
        </w:rPr>
        <w:t>《中华人民共和国安全生产法》第二十一条：</w:t>
      </w:r>
      <w:r>
        <w:rPr>
          <w:rFonts w:hint="eastAsia" w:ascii="方正仿宋_GBK" w:hAnsi="微软雅黑"/>
          <w:color w:val="444444"/>
          <w:sz w:val="18"/>
          <w:szCs w:val="18"/>
          <w:lang w:val="en" w:eastAsia="zh-CN"/>
        </w:rPr>
        <w:t>“</w:t>
      </w:r>
      <w:r>
        <w:rPr>
          <w:rFonts w:hint="eastAsia" w:ascii="方正仿宋_GBK" w:hAnsi="微软雅黑" w:eastAsia="方正仿宋_GBK"/>
          <w:color w:val="444444"/>
          <w:sz w:val="18"/>
          <w:szCs w:val="18"/>
          <w:lang w:val="en"/>
        </w:rPr>
        <w:t>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w:t>
      </w:r>
      <w:r>
        <w:rPr>
          <w:rFonts w:hint="eastAsia" w:ascii="方正仿宋_GBK" w:hAnsi="微软雅黑"/>
          <w:color w:val="444444"/>
          <w:sz w:val="18"/>
          <w:szCs w:val="18"/>
          <w:lang w:val="en" w:eastAsia="zh-CN"/>
        </w:rPr>
        <w:t>”</w:t>
      </w:r>
      <w:r>
        <w:rPr>
          <w:rFonts w:hint="eastAsia" w:ascii="方正仿宋_GBK" w:hAnsi="微软雅黑" w:eastAsia="方正仿宋_GBK"/>
          <w:color w:val="444444"/>
          <w:sz w:val="18"/>
          <w:szCs w:val="18"/>
          <w:lang w:val="en"/>
        </w:rPr>
        <w:t>。</w:t>
      </w:r>
    </w:p>
  </w:footnote>
  <w:footnote w:id="1">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K" w:hAnsi="微软雅黑" w:eastAsia="方正仿宋_GBK" w:cstheme="minorBidi"/>
          <w:color w:val="444444"/>
          <w:kern w:val="2"/>
          <w:sz w:val="18"/>
          <w:szCs w:val="18"/>
          <w:lang w:val="en" w:eastAsia="zh-CN" w:bidi="ar-SA"/>
        </w:rPr>
      </w:pPr>
      <w:r>
        <w:rPr>
          <w:rStyle w:val="18"/>
          <w:rFonts w:asciiTheme="minorHAnsi" w:hAnsiTheme="minorHAnsi" w:eastAsiaTheme="minorEastAsia" w:cstheme="minorBidi"/>
          <w:kern w:val="2"/>
          <w:sz w:val="18"/>
          <w:szCs w:val="24"/>
          <w:lang w:val="en-US" w:eastAsia="zh-CN" w:bidi="ar-SA"/>
        </w:rPr>
        <w:t>[</w:t>
      </w:r>
      <w:r>
        <w:rPr>
          <w:rStyle w:val="18"/>
          <w:rFonts w:asciiTheme="minorHAnsi" w:hAnsiTheme="minorHAnsi" w:eastAsiaTheme="minorEastAsia" w:cstheme="minorBidi"/>
          <w:kern w:val="2"/>
          <w:sz w:val="18"/>
          <w:szCs w:val="24"/>
          <w:lang w:val="en-US" w:eastAsia="zh-CN" w:bidi="ar-SA"/>
        </w:rPr>
        <w:footnoteRef/>
      </w:r>
      <w:r>
        <w:rPr>
          <w:rStyle w:val="18"/>
          <w:rFonts w:asciiTheme="minorHAnsi" w:hAnsiTheme="minorHAnsi" w:eastAsiaTheme="minorEastAsia" w:cstheme="minorBidi"/>
          <w:kern w:val="2"/>
          <w:sz w:val="18"/>
          <w:szCs w:val="24"/>
          <w:lang w:val="en-US" w:eastAsia="zh-CN" w:bidi="ar-SA"/>
        </w:rPr>
        <w:t xml:space="preserve">] </w:t>
      </w:r>
      <w:r>
        <w:rPr>
          <w:rFonts w:hint="eastAsia" w:ascii="方正仿宋_GBK" w:hAnsi="微软雅黑" w:eastAsia="方正仿宋_GBK"/>
          <w:color w:val="444444"/>
          <w:sz w:val="18"/>
          <w:szCs w:val="18"/>
          <w:lang w:val="en-US" w:eastAsia="zh-CN"/>
        </w:rPr>
        <w:t>《中华人民共和国安全生产法》</w:t>
      </w:r>
      <w:r>
        <w:rPr>
          <w:rFonts w:hint="eastAsia" w:ascii="方正仿宋_GBK" w:hAnsi="微软雅黑" w:eastAsia="方正仿宋_GBK" w:cstheme="minorBidi"/>
          <w:color w:val="444444"/>
          <w:kern w:val="2"/>
          <w:sz w:val="18"/>
          <w:szCs w:val="18"/>
          <w:lang w:val="en-US" w:eastAsia="zh-CN" w:bidi="ar-SA"/>
        </w:rPr>
        <w:t>第九十五条第一项：</w:t>
      </w:r>
      <w:r>
        <w:rPr>
          <w:rFonts w:hint="eastAsia" w:ascii="方正仿宋_GBK" w:hAnsi="微软雅黑" w:cstheme="minorBidi"/>
          <w:color w:val="444444"/>
          <w:kern w:val="2"/>
          <w:sz w:val="18"/>
          <w:szCs w:val="18"/>
          <w:lang w:val="en-US" w:eastAsia="zh-CN" w:bidi="ar-SA"/>
        </w:rPr>
        <w:t>“</w:t>
      </w:r>
      <w:r>
        <w:rPr>
          <w:rFonts w:hint="eastAsia" w:ascii="方正仿宋_GBK" w:hAnsi="微软雅黑" w:eastAsia="方正仿宋_GBK" w:cstheme="minorBidi"/>
          <w:color w:val="444444"/>
          <w:kern w:val="2"/>
          <w:sz w:val="18"/>
          <w:szCs w:val="18"/>
          <w:lang w:val="en" w:eastAsia="zh-CN" w:bidi="ar-SA"/>
        </w:rPr>
        <w:t>生产经营单位的主要负责人未履行本法规定的安全生产管理职责，导致发生生产安全事故的，由应急管理部门依照下列规定处以罚款:（一）发生一般事故的，处上一年年收入百分之四十的罚款</w:t>
      </w:r>
      <w:r>
        <w:rPr>
          <w:rFonts w:hint="eastAsia" w:ascii="方正仿宋_GBK" w:hAnsi="微软雅黑" w:cstheme="minorBidi"/>
          <w:color w:val="444444"/>
          <w:kern w:val="2"/>
          <w:sz w:val="18"/>
          <w:szCs w:val="18"/>
          <w:lang w:val="en" w:eastAsia="zh-CN" w:bidi="ar-SA"/>
        </w:rPr>
        <w:t>”。</w:t>
      </w:r>
    </w:p>
  </w:footnote>
  <w:footnote w:id="2">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Style w:val="18"/>
          <w:rFonts w:asciiTheme="minorHAnsi" w:hAnsiTheme="minorHAnsi" w:eastAsiaTheme="minorEastAsia" w:cstheme="minorBidi"/>
          <w:kern w:val="2"/>
          <w:sz w:val="18"/>
          <w:szCs w:val="24"/>
          <w:lang w:val="en-US" w:eastAsia="zh-CN" w:bidi="ar-SA"/>
        </w:rPr>
      </w:pPr>
      <w:r>
        <w:rPr>
          <w:rStyle w:val="18"/>
          <w:rFonts w:asciiTheme="minorHAnsi" w:hAnsiTheme="minorHAnsi" w:eastAsiaTheme="minorEastAsia" w:cstheme="minorBidi"/>
          <w:kern w:val="2"/>
          <w:sz w:val="18"/>
          <w:szCs w:val="24"/>
          <w:lang w:val="en-US" w:eastAsia="zh-CN" w:bidi="ar-SA"/>
        </w:rPr>
        <w:t>[</w:t>
      </w:r>
      <w:r>
        <w:rPr>
          <w:rStyle w:val="18"/>
          <w:rFonts w:asciiTheme="minorHAnsi" w:hAnsiTheme="minorHAnsi" w:eastAsiaTheme="minorEastAsia" w:cstheme="minorBidi"/>
          <w:kern w:val="2"/>
          <w:sz w:val="18"/>
          <w:szCs w:val="24"/>
          <w:lang w:val="en-US" w:eastAsia="zh-CN" w:bidi="ar-SA"/>
        </w:rPr>
        <w:footnoteRef/>
      </w:r>
      <w:r>
        <w:rPr>
          <w:rStyle w:val="18"/>
          <w:rFonts w:asciiTheme="minorHAnsi" w:hAnsiTheme="minorHAnsi" w:eastAsiaTheme="minorEastAsia" w:cstheme="minorBidi"/>
          <w:kern w:val="2"/>
          <w:sz w:val="18"/>
          <w:szCs w:val="24"/>
          <w:lang w:val="en-US" w:eastAsia="zh-CN" w:bidi="ar-SA"/>
        </w:rPr>
        <w:t>]</w:t>
      </w:r>
      <w:r>
        <w:t xml:space="preserve"> </w:t>
      </w:r>
      <w:r>
        <w:rPr>
          <w:rFonts w:hint="eastAsia" w:ascii="方正仿宋_GBK" w:hAnsi="微软雅黑" w:eastAsia="方正仿宋_GBK" w:cstheme="minorBidi"/>
          <w:color w:val="444444"/>
          <w:kern w:val="2"/>
          <w:sz w:val="18"/>
          <w:szCs w:val="18"/>
          <w:lang w:val="en-US" w:eastAsia="zh-CN" w:bidi="ar-SA"/>
        </w:rPr>
        <w:t>《中华人民共和国安全生产法》第二十五条：</w:t>
      </w:r>
      <w:r>
        <w:rPr>
          <w:rFonts w:hint="eastAsia" w:ascii="方正仿宋_GBK" w:hAnsi="微软雅黑" w:cstheme="minorBidi"/>
          <w:color w:val="444444"/>
          <w:kern w:val="2"/>
          <w:sz w:val="18"/>
          <w:szCs w:val="18"/>
          <w:lang w:val="en-US" w:eastAsia="zh-CN" w:bidi="ar-SA"/>
        </w:rPr>
        <w:t>“</w:t>
      </w:r>
      <w:r>
        <w:rPr>
          <w:rFonts w:hint="eastAsia" w:ascii="方正仿宋_GBK" w:hAnsi="微软雅黑" w:eastAsia="方正仿宋_GBK" w:cstheme="minorBidi"/>
          <w:color w:val="444444"/>
          <w:kern w:val="2"/>
          <w:sz w:val="18"/>
          <w:szCs w:val="18"/>
          <w:lang w:val="en" w:eastAsia="zh-CN" w:bidi="ar-SA"/>
        </w:rPr>
        <w:t>生产经营单位的安全生产管理机构以及安全生产管理人员履行下列职责:（二）组织或者参与本单位安全生产教育和培训，如实记录安全生产教育和培训情况；（三）组织开展危险源辨识和评估，督促落实本单位重大危险源的安全管理措施；（六）制止和纠正违章指挥、强令冒险作业、违反操作规程的行为</w:t>
      </w:r>
      <w:r>
        <w:rPr>
          <w:rFonts w:hint="eastAsia" w:ascii="方正仿宋_GBK" w:hAnsi="微软雅黑" w:cstheme="minorBidi"/>
          <w:color w:val="444444"/>
          <w:kern w:val="2"/>
          <w:sz w:val="18"/>
          <w:szCs w:val="18"/>
          <w:lang w:val="en" w:eastAsia="zh-CN" w:bidi="ar-SA"/>
        </w:rPr>
        <w:t>”。</w:t>
      </w:r>
    </w:p>
  </w:footnote>
  <w:footnote w:id="3">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hint="eastAsia" w:ascii="方正仿宋_GBK" w:hAnsi="微软雅黑" w:eastAsia="方正仿宋_GBK" w:cstheme="minorBidi"/>
          <w:color w:val="444444"/>
          <w:kern w:val="2"/>
          <w:sz w:val="18"/>
          <w:szCs w:val="18"/>
          <w:lang w:val="en" w:eastAsia="zh-CN" w:bidi="ar-SA"/>
        </w:rPr>
      </w:pPr>
      <w:r>
        <w:rPr>
          <w:rStyle w:val="18"/>
          <w:rFonts w:asciiTheme="minorHAnsi" w:hAnsiTheme="minorHAnsi" w:eastAsiaTheme="minorEastAsia" w:cstheme="minorBidi"/>
          <w:kern w:val="2"/>
          <w:sz w:val="18"/>
          <w:szCs w:val="24"/>
          <w:lang w:val="en-US" w:eastAsia="zh-CN" w:bidi="ar-SA"/>
        </w:rPr>
        <w:t>[</w:t>
      </w:r>
      <w:r>
        <w:rPr>
          <w:rStyle w:val="18"/>
          <w:rFonts w:asciiTheme="minorHAnsi" w:hAnsiTheme="minorHAnsi" w:eastAsiaTheme="minorEastAsia" w:cstheme="minorBidi"/>
          <w:kern w:val="2"/>
          <w:sz w:val="18"/>
          <w:szCs w:val="24"/>
          <w:lang w:val="en-US" w:eastAsia="zh-CN" w:bidi="ar-SA"/>
        </w:rPr>
        <w:footnoteRef/>
      </w:r>
      <w:r>
        <w:rPr>
          <w:rStyle w:val="18"/>
          <w:rFonts w:asciiTheme="minorHAnsi" w:hAnsiTheme="minorHAnsi" w:eastAsiaTheme="minorEastAsia" w:cstheme="minorBidi"/>
          <w:kern w:val="2"/>
          <w:sz w:val="18"/>
          <w:szCs w:val="24"/>
          <w:lang w:val="en-US" w:eastAsia="zh-CN" w:bidi="ar-SA"/>
        </w:rPr>
        <w:t xml:space="preserve">] </w:t>
      </w:r>
      <w:r>
        <w:rPr>
          <w:rFonts w:hint="eastAsia" w:ascii="方正仿宋_GBK" w:hAnsi="微软雅黑" w:eastAsia="方正仿宋_GBK" w:cstheme="minorBidi"/>
          <w:color w:val="444444"/>
          <w:kern w:val="2"/>
          <w:sz w:val="18"/>
          <w:szCs w:val="18"/>
          <w:lang w:val="en-US" w:eastAsia="zh-CN" w:bidi="ar-SA"/>
        </w:rPr>
        <w:t>《中华人民共和国安全生产法》第九十六条：</w:t>
      </w:r>
      <w:r>
        <w:rPr>
          <w:rFonts w:hint="eastAsia" w:ascii="方正仿宋_GBK" w:hAnsi="微软雅黑" w:cstheme="minorBidi"/>
          <w:color w:val="444444"/>
          <w:kern w:val="2"/>
          <w:sz w:val="18"/>
          <w:szCs w:val="18"/>
          <w:lang w:val="en-US" w:eastAsia="zh-CN" w:bidi="ar-SA"/>
        </w:rPr>
        <w:t>“</w:t>
      </w:r>
      <w:r>
        <w:rPr>
          <w:rFonts w:hint="eastAsia" w:ascii="方正仿宋_GBK" w:hAnsi="微软雅黑" w:eastAsia="方正仿宋_GBK" w:cstheme="minorBidi"/>
          <w:color w:val="444444"/>
          <w:kern w:val="2"/>
          <w:sz w:val="18"/>
          <w:szCs w:val="18"/>
          <w:lang w:val="en" w:eastAsia="zh-CN" w:bidi="ar-SA"/>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方正仿宋_GBK" w:hAnsi="微软雅黑" w:cstheme="minorBidi"/>
          <w:color w:val="444444"/>
          <w:kern w:val="2"/>
          <w:sz w:val="18"/>
          <w:szCs w:val="18"/>
          <w:lang w:val="en" w:eastAsia="zh-CN" w:bidi="ar-SA"/>
        </w:rPr>
        <w:t>”</w:t>
      </w:r>
      <w:r>
        <w:rPr>
          <w:rFonts w:hint="eastAsia" w:ascii="方正仿宋_GBK" w:hAnsi="微软雅黑" w:eastAsia="方正仿宋_GBK" w:cstheme="minorBidi"/>
          <w:color w:val="444444"/>
          <w:kern w:val="2"/>
          <w:sz w:val="18"/>
          <w:szCs w:val="18"/>
          <w:lang w:val="en" w:eastAsia="zh-CN" w:bidi="ar-SA"/>
        </w:rPr>
        <w:t>。</w:t>
      </w:r>
    </w:p>
  </w:footnote>
  <w:footnote w:id="4">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pPr>
      <w:r>
        <w:rPr>
          <w:rStyle w:val="18"/>
          <w:rFonts w:hint="eastAsia" w:asciiTheme="minorHAnsi" w:hAnsiTheme="minorHAnsi" w:eastAsiaTheme="minorEastAsia" w:cstheme="minorBidi"/>
          <w:kern w:val="2"/>
          <w:sz w:val="18"/>
          <w:szCs w:val="24"/>
          <w:lang w:val="en" w:eastAsia="zh-CN" w:bidi="ar-SA"/>
        </w:rPr>
        <w:t>[</w:t>
      </w:r>
      <w:r>
        <w:rPr>
          <w:rStyle w:val="18"/>
          <w:rFonts w:hint="eastAsia" w:asciiTheme="minorHAnsi" w:hAnsiTheme="minorHAnsi" w:eastAsiaTheme="minorEastAsia" w:cstheme="minorBidi"/>
          <w:kern w:val="2"/>
          <w:sz w:val="18"/>
          <w:szCs w:val="24"/>
          <w:lang w:val="en" w:eastAsia="zh-CN" w:bidi="ar-SA"/>
        </w:rPr>
        <w:footnoteRef/>
      </w:r>
      <w:r>
        <w:rPr>
          <w:rStyle w:val="18"/>
          <w:rFonts w:hint="eastAsia" w:asciiTheme="minorHAnsi" w:hAnsiTheme="minorHAnsi" w:eastAsiaTheme="minorEastAsia" w:cstheme="minorBidi"/>
          <w:kern w:val="2"/>
          <w:sz w:val="18"/>
          <w:szCs w:val="24"/>
          <w:lang w:val="en" w:eastAsia="zh-CN" w:bidi="ar-SA"/>
        </w:rPr>
        <w:t>]</w:t>
      </w:r>
      <w:r>
        <w:rPr>
          <w:rFonts w:hint="eastAsia" w:ascii="方正仿宋_GBK" w:hAnsi="微软雅黑" w:eastAsia="方正仿宋_GBK" w:cstheme="minorBidi"/>
          <w:color w:val="444444"/>
          <w:kern w:val="2"/>
          <w:sz w:val="18"/>
          <w:szCs w:val="18"/>
          <w:lang w:val="en" w:eastAsia="zh-CN" w:bidi="ar-SA"/>
        </w:rPr>
        <w:t xml:space="preserve"> </w:t>
      </w:r>
      <w:r>
        <w:rPr>
          <w:rFonts w:hint="eastAsia" w:ascii="方正仿宋_GBK" w:hAnsi="微软雅黑" w:eastAsia="方正仿宋_GBK" w:cstheme="minorBidi"/>
          <w:color w:val="444444"/>
          <w:kern w:val="2"/>
          <w:sz w:val="18"/>
          <w:szCs w:val="18"/>
          <w:lang w:val="en-US" w:eastAsia="zh-CN" w:bidi="ar-SA"/>
        </w:rPr>
        <w:t>《中华人民共和国安全生产法》第二十五条：</w:t>
      </w:r>
      <w:r>
        <w:rPr>
          <w:rFonts w:hint="eastAsia" w:ascii="方正仿宋_GBK" w:hAnsi="微软雅黑" w:cstheme="minorBidi"/>
          <w:color w:val="444444"/>
          <w:kern w:val="2"/>
          <w:sz w:val="18"/>
          <w:szCs w:val="18"/>
          <w:lang w:val="en-US" w:eastAsia="zh-CN" w:bidi="ar-SA"/>
        </w:rPr>
        <w:t>“</w:t>
      </w:r>
      <w:r>
        <w:rPr>
          <w:rFonts w:hint="eastAsia" w:ascii="方正仿宋_GBK" w:hAnsi="微软雅黑" w:eastAsia="方正仿宋_GBK" w:cstheme="minorBidi"/>
          <w:color w:val="444444"/>
          <w:kern w:val="2"/>
          <w:sz w:val="18"/>
          <w:szCs w:val="18"/>
          <w:lang w:val="en" w:eastAsia="zh-CN" w:bidi="ar-SA"/>
        </w:rPr>
        <w:t>生产经营单位的安全生产管理机构以及安全生产管理人员履行下列职责:（二）组织或者参与本单位安全生产教育和培训，如实记录安全生产教育和培训情况；（三）组织开展危险源辨识和评估，督促落实本单位重大危险源的安全管理措施；（六）制止和纠正违章指挥、强令冒险作业、违反操作规程的行为</w:t>
      </w:r>
      <w:r>
        <w:rPr>
          <w:rFonts w:hint="eastAsia" w:ascii="方正仿宋_GBK" w:hAnsi="微软雅黑" w:cstheme="minorBidi"/>
          <w:color w:val="444444"/>
          <w:kern w:val="2"/>
          <w:sz w:val="18"/>
          <w:szCs w:val="18"/>
          <w:lang w:val="en" w:eastAsia="zh-CN" w:bidi="ar-SA"/>
        </w:rPr>
        <w:t>”。</w:t>
      </w:r>
    </w:p>
  </w:footnote>
  <w:footnote w:id="5">
    <w:p>
      <w:pPr>
        <w:pStyle w:val="11"/>
        <w:keepNext w:val="0"/>
        <w:keepLines w:val="0"/>
        <w:pageBreakBefore w:val="0"/>
        <w:widowControl w:val="0"/>
        <w:kinsoku/>
        <w:wordWrap/>
        <w:overflowPunct/>
        <w:topLinePunct w:val="0"/>
        <w:autoSpaceDE/>
        <w:autoSpaceDN/>
        <w:bidi w:val="0"/>
        <w:adjustRightInd/>
        <w:snapToGrid w:val="0"/>
        <w:spacing w:line="200" w:lineRule="exact"/>
        <w:textAlignment w:val="auto"/>
      </w:pPr>
      <w:r>
        <w:rPr>
          <w:rStyle w:val="18"/>
        </w:rPr>
        <w:t>[</w:t>
      </w:r>
      <w:r>
        <w:rPr>
          <w:rStyle w:val="18"/>
        </w:rPr>
        <w:footnoteRef/>
      </w:r>
      <w:r>
        <w:rPr>
          <w:rStyle w:val="18"/>
        </w:rPr>
        <w:t>]</w:t>
      </w:r>
      <w:r>
        <w:t xml:space="preserve"> </w:t>
      </w:r>
      <w:r>
        <w:rPr>
          <w:rFonts w:hint="eastAsia" w:ascii="方正仿宋_GBK" w:hAnsi="微软雅黑" w:eastAsia="方正仿宋_GBK" w:cstheme="minorBidi"/>
          <w:color w:val="444444"/>
          <w:kern w:val="2"/>
          <w:sz w:val="18"/>
          <w:szCs w:val="18"/>
          <w:lang w:val="en-US" w:eastAsia="zh-CN" w:bidi="ar-SA"/>
        </w:rPr>
        <w:t>《中华人民共和国安全生产法》第</w:t>
      </w:r>
      <w:r>
        <w:rPr>
          <w:rFonts w:hint="eastAsia" w:ascii="方正仿宋_GBK" w:hAnsi="微软雅黑" w:eastAsia="方正仿宋_GBK" w:cstheme="minorBidi"/>
          <w:color w:val="444444"/>
          <w:kern w:val="2"/>
          <w:sz w:val="18"/>
          <w:szCs w:val="18"/>
          <w:lang w:val="en" w:eastAsia="zh-CN" w:bidi="ar-SA"/>
        </w:rPr>
        <w:t>四十六条</w:t>
      </w:r>
      <w:r>
        <w:rPr>
          <w:rFonts w:hint="eastAsia" w:ascii="方正仿宋_GBK" w:hAnsi="微软雅黑" w:eastAsia="方正仿宋_GBK" w:cstheme="minorBidi"/>
          <w:color w:val="444444"/>
          <w:kern w:val="2"/>
          <w:sz w:val="18"/>
          <w:szCs w:val="18"/>
          <w:lang w:val="en-US" w:eastAsia="zh-CN" w:bidi="ar-SA"/>
        </w:rPr>
        <w:t>第一款：</w:t>
      </w:r>
      <w:r>
        <w:rPr>
          <w:rFonts w:hint="eastAsia" w:ascii="方正仿宋_GBK" w:hAnsi="微软雅黑" w:cstheme="minorBidi"/>
          <w:color w:val="444444"/>
          <w:kern w:val="2"/>
          <w:sz w:val="18"/>
          <w:szCs w:val="18"/>
          <w:lang w:val="en-US" w:eastAsia="zh-CN" w:bidi="ar-SA"/>
        </w:rPr>
        <w:t>“</w:t>
      </w:r>
      <w:r>
        <w:rPr>
          <w:rFonts w:hint="eastAsia" w:ascii="方正仿宋_GBK" w:hAnsi="微软雅黑" w:eastAsia="方正仿宋_GBK" w:cstheme="minorBidi"/>
          <w:color w:val="444444"/>
          <w:kern w:val="2"/>
          <w:sz w:val="18"/>
          <w:szCs w:val="18"/>
          <w:lang w:val="en" w:eastAsia="zh-CN" w:bidi="ar-SA"/>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r>
        <w:rPr>
          <w:rFonts w:hint="eastAsia" w:ascii="方正仿宋_GBK" w:hAnsi="微软雅黑" w:cstheme="minorBidi"/>
          <w:color w:val="444444"/>
          <w:kern w:val="2"/>
          <w:sz w:val="18"/>
          <w:szCs w:val="18"/>
          <w:lang w:val="en" w:eastAsia="zh-CN" w:bidi="ar-SA"/>
        </w:rPr>
        <w:t>”</w:t>
      </w:r>
      <w:r>
        <w:rPr>
          <w:rFonts w:hint="eastAsia" w:ascii="方正仿宋_GBK" w:hAnsi="微软雅黑" w:eastAsia="方正仿宋_GBK" w:cstheme="minorBidi"/>
          <w:color w:val="444444"/>
          <w:kern w:val="2"/>
          <w:sz w:val="18"/>
          <w:szCs w:val="18"/>
          <w:lang w:val="en" w:eastAsia="zh-CN" w:bidi="ar-SA"/>
        </w:rPr>
        <w:t>。</w:t>
      </w:r>
    </w:p>
  </w:footnote>
  <w:footnote w:id="6">
    <w:p>
      <w:pPr>
        <w:pStyle w:val="11"/>
        <w:keepNext w:val="0"/>
        <w:keepLines w:val="0"/>
        <w:pageBreakBefore w:val="0"/>
        <w:widowControl w:val="0"/>
        <w:kinsoku/>
        <w:wordWrap/>
        <w:overflowPunct/>
        <w:topLinePunct w:val="0"/>
        <w:autoSpaceDE/>
        <w:autoSpaceDN/>
        <w:bidi w:val="0"/>
        <w:adjustRightInd/>
        <w:snapToGrid w:val="0"/>
        <w:spacing w:line="200" w:lineRule="exact"/>
        <w:textAlignment w:val="auto"/>
      </w:pPr>
      <w:r>
        <w:rPr>
          <w:rStyle w:val="18"/>
        </w:rPr>
        <w:t>[</w:t>
      </w:r>
      <w:r>
        <w:rPr>
          <w:rStyle w:val="18"/>
        </w:rPr>
        <w:footnoteRef/>
      </w:r>
      <w:r>
        <w:rPr>
          <w:rStyle w:val="18"/>
        </w:rPr>
        <w:t>]</w:t>
      </w:r>
      <w:r>
        <w:t xml:space="preserve"> </w:t>
      </w:r>
      <w:r>
        <w:rPr>
          <w:rFonts w:hint="eastAsia" w:ascii="方正仿宋_GBK" w:hAnsi="微软雅黑" w:eastAsia="方正仿宋_GBK" w:cstheme="minorBidi"/>
          <w:color w:val="444444"/>
          <w:kern w:val="2"/>
          <w:sz w:val="18"/>
          <w:szCs w:val="18"/>
          <w:lang w:val="en-US" w:eastAsia="zh-CN" w:bidi="ar-SA"/>
        </w:rPr>
        <w:t>《中华人民共和国安全生产法》第九十六条：</w:t>
      </w:r>
      <w:r>
        <w:rPr>
          <w:rFonts w:hint="eastAsia" w:ascii="方正仿宋_GBK" w:hAnsi="微软雅黑" w:cstheme="minorBidi"/>
          <w:color w:val="444444"/>
          <w:kern w:val="2"/>
          <w:sz w:val="18"/>
          <w:szCs w:val="18"/>
          <w:lang w:val="en" w:eastAsia="zh-CN" w:bidi="ar-SA"/>
        </w:rPr>
        <w:t>“</w:t>
      </w:r>
      <w:r>
        <w:rPr>
          <w:rFonts w:hint="eastAsia" w:ascii="方正仿宋_GBK" w:hAnsi="微软雅黑" w:eastAsia="方正仿宋_GBK" w:cstheme="minorBidi"/>
          <w:color w:val="444444"/>
          <w:kern w:val="2"/>
          <w:sz w:val="18"/>
          <w:szCs w:val="18"/>
          <w:lang w:val="en" w:eastAsia="zh-CN" w:bidi="ar-SA"/>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方正仿宋_GBK" w:hAnsi="微软雅黑" w:cstheme="minorBidi"/>
          <w:color w:val="444444"/>
          <w:kern w:val="2"/>
          <w:sz w:val="18"/>
          <w:szCs w:val="18"/>
          <w:lang w:val="en" w:eastAsia="zh-CN" w:bidi="ar-SA"/>
        </w:rPr>
        <w:t>”</w:t>
      </w:r>
      <w:r>
        <w:rPr>
          <w:rFonts w:hint="eastAsia" w:ascii="方正仿宋_GBK" w:hAnsi="微软雅黑" w:eastAsia="方正仿宋_GBK" w:cstheme="minorBidi"/>
          <w:color w:val="444444"/>
          <w:kern w:val="2"/>
          <w:sz w:val="18"/>
          <w:szCs w:val="18"/>
          <w:lang w:val="en" w:eastAsia="zh-CN" w:bidi="ar-SA"/>
        </w:rPr>
        <w:t>。</w:t>
      </w:r>
    </w:p>
  </w:footnote>
  <w:footnote w:id="7">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pPr>
      <w:r>
        <w:rPr>
          <w:rStyle w:val="18"/>
          <w:rFonts w:asciiTheme="minorHAnsi" w:hAnsiTheme="minorHAnsi" w:eastAsiaTheme="minorEastAsia" w:cstheme="minorBidi"/>
          <w:kern w:val="2"/>
          <w:sz w:val="18"/>
          <w:szCs w:val="24"/>
          <w:lang w:val="en-US" w:eastAsia="zh-CN" w:bidi="ar-SA"/>
        </w:rPr>
        <w:t>[</w:t>
      </w:r>
      <w:r>
        <w:rPr>
          <w:rStyle w:val="18"/>
          <w:rFonts w:asciiTheme="minorHAnsi" w:hAnsiTheme="minorHAnsi" w:eastAsiaTheme="minorEastAsia" w:cstheme="minorBidi"/>
          <w:kern w:val="2"/>
          <w:sz w:val="18"/>
          <w:szCs w:val="24"/>
          <w:lang w:val="en-US" w:eastAsia="zh-CN" w:bidi="ar-SA"/>
        </w:rPr>
        <w:footnoteRef/>
      </w:r>
      <w:r>
        <w:rPr>
          <w:rStyle w:val="18"/>
          <w:rFonts w:asciiTheme="minorHAnsi" w:hAnsiTheme="minorHAnsi" w:eastAsiaTheme="minorEastAsia" w:cstheme="minorBidi"/>
          <w:kern w:val="2"/>
          <w:sz w:val="18"/>
          <w:szCs w:val="24"/>
          <w:lang w:val="en-US" w:eastAsia="zh-CN" w:bidi="ar-SA"/>
        </w:rPr>
        <w:t xml:space="preserve">] </w:t>
      </w:r>
      <w:r>
        <w:rPr>
          <w:rFonts w:hint="eastAsia" w:ascii="方正仿宋_GBK" w:hAnsi="微软雅黑" w:eastAsia="方正仿宋_GBK" w:cstheme="minorBidi"/>
          <w:color w:val="444444"/>
          <w:kern w:val="2"/>
          <w:sz w:val="18"/>
          <w:szCs w:val="18"/>
          <w:lang w:val="en-US" w:eastAsia="zh-CN" w:bidi="ar-SA"/>
        </w:rPr>
        <w:t>《新疆维吾尔自治区大型工程机械设备和车辆安全监督管理办法》第十五条：</w:t>
      </w:r>
      <w:r>
        <w:rPr>
          <w:rFonts w:hint="eastAsia" w:ascii="方正仿宋_GBK" w:hAnsi="微软雅黑" w:cstheme="minorBidi"/>
          <w:color w:val="444444"/>
          <w:kern w:val="2"/>
          <w:sz w:val="18"/>
          <w:szCs w:val="18"/>
          <w:lang w:val="en-US" w:eastAsia="zh-CN" w:bidi="ar-SA"/>
        </w:rPr>
        <w:t>“</w:t>
      </w:r>
      <w:r>
        <w:rPr>
          <w:rFonts w:hint="eastAsia" w:ascii="方正仿宋_GBK" w:hAnsi="微软雅黑" w:eastAsia="方正仿宋_GBK" w:cstheme="minorBidi"/>
          <w:color w:val="444444"/>
          <w:kern w:val="2"/>
          <w:sz w:val="18"/>
          <w:szCs w:val="18"/>
          <w:lang w:val="en" w:eastAsia="zh-CN" w:bidi="ar-SA"/>
        </w:rPr>
        <w:t>大型工程机械设备实行登记制度，大型工程机械设备驾驶人员应当取得驾驶证或者操作证</w:t>
      </w:r>
      <w:r>
        <w:rPr>
          <w:rFonts w:hint="eastAsia" w:ascii="方正仿宋_GBK" w:hAnsi="微软雅黑" w:cstheme="minorBidi"/>
          <w:color w:val="444444"/>
          <w:kern w:val="2"/>
          <w:sz w:val="18"/>
          <w:szCs w:val="18"/>
          <w:lang w:val="en" w:eastAsia="zh-CN" w:bidi="ar-SA"/>
        </w:rPr>
        <w:t>”</w:t>
      </w:r>
      <w:r>
        <w:rPr>
          <w:rFonts w:hint="eastAsia" w:ascii="方正仿宋_GBK" w:hAnsi="微软雅黑" w:eastAsia="方正仿宋_GBK" w:cstheme="minorBidi"/>
          <w:color w:val="444444"/>
          <w:kern w:val="2"/>
          <w:sz w:val="18"/>
          <w:szCs w:val="18"/>
          <w:lang w:val="en" w:eastAsia="zh-CN" w:bidi="ar-SA"/>
        </w:rPr>
        <w:t>。</w:t>
      </w:r>
    </w:p>
  </w:footnote>
  <w:footnote w:id="8">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hint="eastAsia" w:ascii="方正仿宋_GBK" w:hAnsi="微软雅黑" w:cstheme="minorBidi"/>
          <w:color w:val="444444"/>
          <w:kern w:val="2"/>
          <w:sz w:val="18"/>
          <w:szCs w:val="18"/>
          <w:highlight w:val="none"/>
          <w:lang w:val="en-US" w:eastAsia="zh-CN" w:bidi="ar-SA"/>
        </w:rPr>
      </w:pPr>
      <w:r>
        <w:rPr>
          <w:rStyle w:val="18"/>
          <w:rFonts w:asciiTheme="minorHAnsi" w:hAnsiTheme="minorHAnsi" w:eastAsiaTheme="minorEastAsia" w:cstheme="minorBidi"/>
          <w:kern w:val="2"/>
          <w:sz w:val="18"/>
          <w:szCs w:val="24"/>
          <w:lang w:val="en-US" w:eastAsia="zh-CN" w:bidi="ar-SA"/>
        </w:rPr>
        <w:t>[</w:t>
      </w:r>
      <w:r>
        <w:rPr>
          <w:rStyle w:val="18"/>
          <w:rFonts w:asciiTheme="minorHAnsi" w:hAnsiTheme="minorHAnsi" w:eastAsiaTheme="minorEastAsia" w:cstheme="minorBidi"/>
          <w:kern w:val="2"/>
          <w:sz w:val="18"/>
          <w:szCs w:val="24"/>
          <w:lang w:val="en-US" w:eastAsia="zh-CN" w:bidi="ar-SA"/>
        </w:rPr>
        <w:footnoteRef/>
      </w:r>
      <w:r>
        <w:rPr>
          <w:rStyle w:val="18"/>
          <w:rFonts w:asciiTheme="minorHAnsi" w:hAnsiTheme="minorHAnsi" w:eastAsiaTheme="minorEastAsia" w:cstheme="minorBidi"/>
          <w:kern w:val="2"/>
          <w:sz w:val="18"/>
          <w:szCs w:val="24"/>
          <w:lang w:val="en-US" w:eastAsia="zh-CN" w:bidi="ar-SA"/>
        </w:rPr>
        <w:t>]</w:t>
      </w:r>
      <w:r>
        <w:rPr>
          <w:rFonts w:hint="eastAsia" w:ascii="方正仿宋_GBK" w:hAnsi="微软雅黑" w:eastAsia="方正仿宋_GBK" w:cstheme="minorBidi"/>
          <w:color w:val="444444"/>
          <w:kern w:val="2"/>
          <w:sz w:val="18"/>
          <w:szCs w:val="18"/>
          <w:lang w:val="en-US" w:eastAsia="zh-CN" w:bidi="ar-SA"/>
        </w:rPr>
        <w:t>《新疆维</w:t>
      </w:r>
      <w:r>
        <w:rPr>
          <w:rFonts w:hint="eastAsia" w:ascii="方正仿宋_GBK" w:hAnsi="微软雅黑" w:eastAsia="方正仿宋_GBK" w:cstheme="minorBidi"/>
          <w:color w:val="444444"/>
          <w:kern w:val="2"/>
          <w:sz w:val="18"/>
          <w:szCs w:val="18"/>
          <w:highlight w:val="none"/>
          <w:lang w:val="en-US" w:eastAsia="zh-CN" w:bidi="ar-SA"/>
        </w:rPr>
        <w:t>吾尔自治区大型工程机械设备和车辆安全监督管理办法》第二十九条：</w:t>
      </w:r>
      <w:r>
        <w:rPr>
          <w:rFonts w:hint="eastAsia" w:ascii="方正仿宋_GBK" w:hAnsi="微软雅黑" w:cstheme="minorBidi"/>
          <w:color w:val="444444"/>
          <w:kern w:val="2"/>
          <w:sz w:val="18"/>
          <w:szCs w:val="18"/>
          <w:highlight w:val="none"/>
          <w:lang w:val="en-US" w:eastAsia="zh-CN" w:bidi="ar-SA"/>
        </w:rPr>
        <w:t>“</w:t>
      </w:r>
      <w:r>
        <w:rPr>
          <w:rFonts w:hint="eastAsia" w:ascii="方正仿宋_GBK" w:hAnsi="微软雅黑" w:eastAsia="方正仿宋_GBK" w:cstheme="minorBidi"/>
          <w:color w:val="444444"/>
          <w:kern w:val="2"/>
          <w:sz w:val="18"/>
          <w:szCs w:val="18"/>
          <w:highlight w:val="none"/>
          <w:lang w:val="en-US" w:eastAsia="zh-CN" w:bidi="ar-SA"/>
        </w:rPr>
        <w:t>违反本办法规定，有下列情形之一的，上道路行驶的大型工程机械设备，由公安机关交通管理部门委托农机监理机构依据道路交通安全法律法规执行；其他大型工程机械设备，由县（市）以上农机监理机构处二千元以上二万元以下罚款：（一）未按规定取得相应的牌证，擅自将大型工程机械设备投入使用的；（二）伪造、变造或者使用伪造、变造的大型工程机械设备牌证的，或者使用其他的大型工程机械设备牌证的；（三）未取得大型工程机械设备驾驶证或者操作证驾驶大型工程机械设备的；（四）驾驶与本人驾驶证、操作证不相符的大型程机械设备，或者驾驶未按照规定检验或者</w:t>
      </w:r>
      <w:r>
        <w:rPr>
          <w:rFonts w:hint="eastAsia" w:ascii="方正仿宋_GBK" w:hAnsi="微软雅黑" w:cstheme="minorBidi"/>
          <w:color w:val="444444"/>
          <w:kern w:val="2"/>
          <w:sz w:val="18"/>
          <w:szCs w:val="18"/>
          <w:highlight w:val="none"/>
          <w:lang w:val="en-US" w:eastAsia="zh-CN" w:bidi="ar-SA"/>
        </w:rPr>
        <w:t>检验不合格的大型工程机械设备的。对伪造、变造的牌证予以收缴”。</w:t>
      </w:r>
    </w:p>
  </w:footnote>
  <w:footnote w:id="9">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pPr>
      <w:r>
        <w:rPr>
          <w:rStyle w:val="18"/>
          <w:rFonts w:hint="eastAsia" w:asciiTheme="minorHAnsi" w:hAnsiTheme="minorHAnsi" w:eastAsiaTheme="minorEastAsia" w:cstheme="minorBidi"/>
          <w:kern w:val="2"/>
          <w:sz w:val="18"/>
          <w:szCs w:val="24"/>
          <w:lang w:val="en-US" w:eastAsia="zh-CN" w:bidi="ar-SA"/>
        </w:rPr>
        <w:t>[</w:t>
      </w:r>
      <w:r>
        <w:rPr>
          <w:rStyle w:val="18"/>
          <w:rFonts w:hint="eastAsia" w:asciiTheme="minorHAnsi" w:hAnsiTheme="minorHAnsi" w:eastAsiaTheme="minorEastAsia" w:cstheme="minorBidi"/>
          <w:kern w:val="2"/>
          <w:sz w:val="18"/>
          <w:szCs w:val="24"/>
          <w:lang w:val="en-US" w:eastAsia="zh-CN" w:bidi="ar-SA"/>
        </w:rPr>
        <w:footnoteRef/>
      </w:r>
      <w:r>
        <w:rPr>
          <w:rStyle w:val="18"/>
          <w:rFonts w:hint="eastAsia" w:asciiTheme="minorHAnsi" w:hAnsiTheme="minorHAnsi" w:eastAsiaTheme="minorEastAsia" w:cstheme="minorBidi"/>
          <w:kern w:val="2"/>
          <w:sz w:val="18"/>
          <w:szCs w:val="24"/>
          <w:lang w:val="en-US" w:eastAsia="zh-CN" w:bidi="ar-SA"/>
        </w:rPr>
        <w:t xml:space="preserve">] </w:t>
      </w:r>
      <w:r>
        <w:rPr>
          <w:rFonts w:hint="eastAsia" w:ascii="方正仿宋_GBK" w:hAnsi="微软雅黑" w:eastAsia="方正仿宋_GBK" w:cstheme="minorBidi"/>
          <w:color w:val="444444"/>
          <w:kern w:val="2"/>
          <w:sz w:val="18"/>
          <w:szCs w:val="18"/>
          <w:highlight w:val="none"/>
          <w:lang w:val="en-US" w:eastAsia="zh-CN" w:bidi="ar-SA"/>
        </w:rPr>
        <w:t>《安全生产违法行为行政处罚办法》第四十五条第一项：“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w:t>
      </w:r>
      <w:r>
        <w:rPr>
          <w:rFonts w:hint="eastAsia" w:ascii="方正仿宋_GBK" w:hAnsi="微软雅黑" w:cstheme="minorBidi"/>
          <w:color w:val="444444"/>
          <w:kern w:val="2"/>
          <w:sz w:val="18"/>
          <w:szCs w:val="18"/>
          <w:lang w:val="en-US" w:eastAsia="zh-CN" w:bidi="ar-SA"/>
        </w:rPr>
        <w:t>。</w:t>
      </w:r>
    </w:p>
  </w:footnote>
  <w:footnote w:id="10">
    <w:p>
      <w:pPr>
        <w:pStyle w:val="11"/>
        <w:keepNext w:val="0"/>
        <w:keepLines w:val="0"/>
        <w:pageBreakBefore w:val="0"/>
        <w:widowControl w:val="0"/>
        <w:kinsoku/>
        <w:wordWrap/>
        <w:overflowPunct/>
        <w:topLinePunct w:val="0"/>
        <w:autoSpaceDE/>
        <w:autoSpaceDN/>
        <w:bidi w:val="0"/>
        <w:adjustRightInd/>
        <w:snapToGrid w:val="0"/>
        <w:spacing w:line="200" w:lineRule="exact"/>
        <w:textAlignment w:val="auto"/>
      </w:pPr>
      <w:r>
        <w:rPr>
          <w:rStyle w:val="18"/>
        </w:rPr>
        <w:t>[</w:t>
      </w:r>
      <w:r>
        <w:rPr>
          <w:rStyle w:val="18"/>
        </w:rPr>
        <w:footnoteRef/>
      </w:r>
      <w:r>
        <w:rPr>
          <w:rStyle w:val="18"/>
        </w:rPr>
        <w:t>]</w:t>
      </w:r>
      <w:r>
        <w:t xml:space="preserve"> </w:t>
      </w:r>
      <w:r>
        <w:rPr>
          <w:rFonts w:hint="eastAsia" w:ascii="方正仿宋_GBK" w:hAnsi="微软雅黑" w:eastAsia="方正仿宋_GBK" w:cstheme="minorBidi"/>
          <w:color w:val="444444"/>
          <w:kern w:val="2"/>
          <w:sz w:val="18"/>
          <w:szCs w:val="18"/>
          <w:lang w:val="en-US" w:eastAsia="zh-CN" w:bidi="ar-SA"/>
        </w:rPr>
        <w:t>《中华人民共和国安全生产法》第四十九条第二款：</w:t>
      </w:r>
      <w:r>
        <w:rPr>
          <w:rFonts w:hint="eastAsia" w:ascii="方正仿宋_GBK" w:hAnsi="微软雅黑" w:cstheme="minorBidi"/>
          <w:color w:val="444444"/>
          <w:kern w:val="2"/>
          <w:sz w:val="18"/>
          <w:szCs w:val="18"/>
          <w:lang w:val="en-US" w:eastAsia="zh-CN" w:bidi="ar-SA"/>
        </w:rPr>
        <w:t>“</w:t>
      </w:r>
      <w:r>
        <w:rPr>
          <w:rFonts w:hint="eastAsia" w:ascii="方正仿宋_GBK" w:hAnsi="微软雅黑" w:eastAsia="方正仿宋_GBK" w:cstheme="minorBidi"/>
          <w:color w:val="444444"/>
          <w:kern w:val="2"/>
          <w:sz w:val="18"/>
          <w:szCs w:val="18"/>
          <w:lang w:val="en" w:eastAsia="zh-CN" w:bidi="ar-SA"/>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rFonts w:hint="eastAsia" w:ascii="方正仿宋_GBK" w:hAnsi="微软雅黑" w:cstheme="minorBidi"/>
          <w:color w:val="444444"/>
          <w:kern w:val="2"/>
          <w:sz w:val="18"/>
          <w:szCs w:val="18"/>
          <w:lang w:val="en" w:eastAsia="zh-CN" w:bidi="ar-SA"/>
        </w:rPr>
        <w:t>”。</w:t>
      </w:r>
    </w:p>
  </w:footnote>
  <w:footnote w:id="11">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rFonts w:hint="eastAsia" w:ascii="方正仿宋_GBK" w:hAnsi="方正仿宋_GBK" w:eastAsia="方正仿宋_GBK" w:cs="方正仿宋_GBK"/>
          <w:sz w:val="30"/>
          <w:szCs w:val="30"/>
          <w:lang w:val="en"/>
        </w:rPr>
      </w:pPr>
      <w:r>
        <w:rPr>
          <w:rStyle w:val="18"/>
          <w:rFonts w:asciiTheme="minorHAnsi" w:hAnsiTheme="minorHAnsi" w:eastAsiaTheme="minorEastAsia" w:cstheme="minorBidi"/>
          <w:kern w:val="2"/>
          <w:sz w:val="18"/>
          <w:szCs w:val="24"/>
          <w:lang w:val="en-US" w:eastAsia="zh-CN" w:bidi="ar-SA"/>
        </w:rPr>
        <w:t>[</w:t>
      </w:r>
      <w:r>
        <w:rPr>
          <w:rStyle w:val="18"/>
          <w:rFonts w:asciiTheme="minorHAnsi" w:hAnsiTheme="minorHAnsi" w:eastAsiaTheme="minorEastAsia" w:cstheme="minorBidi"/>
          <w:kern w:val="2"/>
          <w:sz w:val="18"/>
          <w:szCs w:val="24"/>
          <w:lang w:val="en-US" w:eastAsia="zh-CN" w:bidi="ar-SA"/>
        </w:rPr>
        <w:footnoteRef/>
      </w:r>
      <w:r>
        <w:rPr>
          <w:rStyle w:val="18"/>
          <w:rFonts w:asciiTheme="minorHAnsi" w:hAnsiTheme="minorHAnsi" w:eastAsiaTheme="minorEastAsia" w:cstheme="minorBidi"/>
          <w:kern w:val="2"/>
          <w:sz w:val="18"/>
          <w:szCs w:val="24"/>
          <w:lang w:val="en-US" w:eastAsia="zh-CN" w:bidi="ar-SA"/>
        </w:rPr>
        <w:t>]</w:t>
      </w:r>
      <w:r>
        <w:rPr>
          <w:rStyle w:val="18"/>
          <w:rFonts w:hint="eastAsia" w:asciiTheme="minorHAnsi" w:hAnsiTheme="minorHAnsi" w:eastAsiaTheme="minorEastAsia" w:cstheme="minorBidi"/>
          <w:kern w:val="2"/>
          <w:sz w:val="18"/>
          <w:szCs w:val="24"/>
          <w:lang w:val="en" w:eastAsia="zh-CN" w:bidi="ar-SA"/>
        </w:rPr>
        <w:t xml:space="preserve"> </w:t>
      </w:r>
      <w:r>
        <w:rPr>
          <w:rFonts w:hint="eastAsia" w:ascii="方正仿宋_GBK" w:hAnsi="微软雅黑" w:eastAsia="方正仿宋_GBK" w:cstheme="minorBidi"/>
          <w:color w:val="444444"/>
          <w:kern w:val="2"/>
          <w:sz w:val="18"/>
          <w:szCs w:val="18"/>
          <w:lang w:val="en-US" w:eastAsia="zh-CN" w:bidi="ar-SA"/>
        </w:rPr>
        <w:t>《中华人民共和国安全生产法》第一百零三条第二款：</w:t>
      </w:r>
      <w:r>
        <w:rPr>
          <w:rFonts w:hint="eastAsia" w:ascii="方正仿宋_GBK" w:hAnsi="微软雅黑" w:cstheme="minorBidi"/>
          <w:color w:val="444444"/>
          <w:kern w:val="2"/>
          <w:sz w:val="18"/>
          <w:szCs w:val="18"/>
          <w:lang w:val="en-US" w:eastAsia="zh-CN" w:bidi="ar-SA"/>
        </w:rPr>
        <w:t>“</w:t>
      </w:r>
      <w:r>
        <w:rPr>
          <w:rFonts w:hint="eastAsia" w:ascii="方正仿宋_GBK" w:hAnsi="微软雅黑" w:eastAsia="方正仿宋_GBK" w:cstheme="minorBidi"/>
          <w:color w:val="444444"/>
          <w:kern w:val="2"/>
          <w:sz w:val="18"/>
          <w:szCs w:val="18"/>
          <w:lang w:val="en" w:eastAsia="zh-CN" w:bidi="ar-SA"/>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方正仿宋_GBK" w:hAnsi="微软雅黑" w:cstheme="minorBidi"/>
          <w:color w:val="444444"/>
          <w:kern w:val="2"/>
          <w:sz w:val="18"/>
          <w:szCs w:val="18"/>
          <w:lang w:val="en" w:eastAsia="zh-CN" w:bidi="ar-SA"/>
        </w:rPr>
        <w:t>”</w:t>
      </w:r>
      <w:r>
        <w:rPr>
          <w:rFonts w:hint="eastAsia" w:ascii="方正仿宋_GBK" w:hAnsi="微软雅黑" w:eastAsia="方正仿宋_GBK" w:cstheme="minorBidi"/>
          <w:color w:val="444444"/>
          <w:kern w:val="2"/>
          <w:sz w:val="18"/>
          <w:szCs w:val="18"/>
          <w:lang w:val="en" w:eastAsia="zh-CN" w:bidi="ar-SA"/>
        </w:rPr>
        <w:t>。</w:t>
      </w:r>
    </w:p>
    <w:p>
      <w:pPr>
        <w:pStyle w:val="11"/>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3D157"/>
    <w:multiLevelType w:val="singleLevel"/>
    <w:tmpl w:val="8003D157"/>
    <w:lvl w:ilvl="0" w:tentative="0">
      <w:start w:val="1"/>
      <w:numFmt w:val="chineseCounting"/>
      <w:suff w:val="nothing"/>
      <w:lvlText w:val="%1、"/>
      <w:lvlJc w:val="left"/>
      <w:rPr>
        <w:rFonts w:hint="eastAsia"/>
      </w:rPr>
    </w:lvl>
  </w:abstractNum>
  <w:abstractNum w:abstractNumId="1">
    <w:nsid w:val="00FF8F1C"/>
    <w:multiLevelType w:val="singleLevel"/>
    <w:tmpl w:val="00FF8F1C"/>
    <w:lvl w:ilvl="0" w:tentative="0">
      <w:start w:val="1"/>
      <w:numFmt w:val="chineseCounting"/>
      <w:suff w:val="nothing"/>
      <w:lvlText w:val="（%1）"/>
      <w:lvlJc w:val="left"/>
      <w:pPr>
        <w:ind w:left="1440" w:firstLine="0"/>
      </w:pPr>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24"/>
    <w:footnote w:id="2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00000000"/>
    <w:rsid w:val="000E177A"/>
    <w:rsid w:val="002E172E"/>
    <w:rsid w:val="00620D56"/>
    <w:rsid w:val="00954C61"/>
    <w:rsid w:val="015D0D5E"/>
    <w:rsid w:val="01A73D87"/>
    <w:rsid w:val="01C0753F"/>
    <w:rsid w:val="028707C3"/>
    <w:rsid w:val="02E81579"/>
    <w:rsid w:val="03554F01"/>
    <w:rsid w:val="03876359"/>
    <w:rsid w:val="038D09AA"/>
    <w:rsid w:val="03E50F41"/>
    <w:rsid w:val="04DD71B8"/>
    <w:rsid w:val="06447052"/>
    <w:rsid w:val="07E07E32"/>
    <w:rsid w:val="084806FF"/>
    <w:rsid w:val="0A1B7A08"/>
    <w:rsid w:val="0A697E7D"/>
    <w:rsid w:val="0B521208"/>
    <w:rsid w:val="0C524BC1"/>
    <w:rsid w:val="0C903E2C"/>
    <w:rsid w:val="0CF307C8"/>
    <w:rsid w:val="0CFB035C"/>
    <w:rsid w:val="0EE303C9"/>
    <w:rsid w:val="0FFE4580"/>
    <w:rsid w:val="102610F9"/>
    <w:rsid w:val="103A04BC"/>
    <w:rsid w:val="10635C65"/>
    <w:rsid w:val="111B6730"/>
    <w:rsid w:val="11877731"/>
    <w:rsid w:val="11E67D72"/>
    <w:rsid w:val="12102359"/>
    <w:rsid w:val="126D3339"/>
    <w:rsid w:val="127C300E"/>
    <w:rsid w:val="13001549"/>
    <w:rsid w:val="136551C1"/>
    <w:rsid w:val="13D731E5"/>
    <w:rsid w:val="14654D07"/>
    <w:rsid w:val="15595889"/>
    <w:rsid w:val="156E30E2"/>
    <w:rsid w:val="15A60041"/>
    <w:rsid w:val="16134C45"/>
    <w:rsid w:val="162D54EE"/>
    <w:rsid w:val="168B5832"/>
    <w:rsid w:val="16D77393"/>
    <w:rsid w:val="16DF585B"/>
    <w:rsid w:val="178D7997"/>
    <w:rsid w:val="180A6139"/>
    <w:rsid w:val="182B350C"/>
    <w:rsid w:val="182F2E27"/>
    <w:rsid w:val="189E60B6"/>
    <w:rsid w:val="19587944"/>
    <w:rsid w:val="19965803"/>
    <w:rsid w:val="19EE44B7"/>
    <w:rsid w:val="1AC72C76"/>
    <w:rsid w:val="1BB67591"/>
    <w:rsid w:val="1BF754B3"/>
    <w:rsid w:val="1C344FAC"/>
    <w:rsid w:val="1D376CB4"/>
    <w:rsid w:val="1DCD2819"/>
    <w:rsid w:val="1E344148"/>
    <w:rsid w:val="1F5275D0"/>
    <w:rsid w:val="1F5C21FD"/>
    <w:rsid w:val="20592BE1"/>
    <w:rsid w:val="207514AA"/>
    <w:rsid w:val="20C10E0A"/>
    <w:rsid w:val="20DE5A09"/>
    <w:rsid w:val="217017EA"/>
    <w:rsid w:val="217F4024"/>
    <w:rsid w:val="21AB48B3"/>
    <w:rsid w:val="23AE21C5"/>
    <w:rsid w:val="24612064"/>
    <w:rsid w:val="24AF4F04"/>
    <w:rsid w:val="25201F1F"/>
    <w:rsid w:val="25634F66"/>
    <w:rsid w:val="2653682A"/>
    <w:rsid w:val="26855060"/>
    <w:rsid w:val="26DB60FD"/>
    <w:rsid w:val="281B54A8"/>
    <w:rsid w:val="285A1CD9"/>
    <w:rsid w:val="28DB4E64"/>
    <w:rsid w:val="29E137C7"/>
    <w:rsid w:val="2AC1385C"/>
    <w:rsid w:val="2B427E6A"/>
    <w:rsid w:val="2BEE6035"/>
    <w:rsid w:val="2C0150B7"/>
    <w:rsid w:val="2D4C26F5"/>
    <w:rsid w:val="2D630BFB"/>
    <w:rsid w:val="2DDD09AD"/>
    <w:rsid w:val="2F3844C7"/>
    <w:rsid w:val="2F6C39B9"/>
    <w:rsid w:val="2F8A609F"/>
    <w:rsid w:val="2F9F3BB0"/>
    <w:rsid w:val="30201D44"/>
    <w:rsid w:val="302F0970"/>
    <w:rsid w:val="30332E41"/>
    <w:rsid w:val="30974BD0"/>
    <w:rsid w:val="30AA78A4"/>
    <w:rsid w:val="311C359A"/>
    <w:rsid w:val="323D5EBE"/>
    <w:rsid w:val="335A2535"/>
    <w:rsid w:val="33774F11"/>
    <w:rsid w:val="337C47C4"/>
    <w:rsid w:val="337E788C"/>
    <w:rsid w:val="33DB598F"/>
    <w:rsid w:val="367F74A1"/>
    <w:rsid w:val="36BE3284"/>
    <w:rsid w:val="37BF09D7"/>
    <w:rsid w:val="380B4369"/>
    <w:rsid w:val="383D6B3E"/>
    <w:rsid w:val="38E71D8F"/>
    <w:rsid w:val="39336834"/>
    <w:rsid w:val="396C7089"/>
    <w:rsid w:val="39E81075"/>
    <w:rsid w:val="39FE0E0D"/>
    <w:rsid w:val="3A70574A"/>
    <w:rsid w:val="3A7E1EAF"/>
    <w:rsid w:val="3A9E14C4"/>
    <w:rsid w:val="3AFD268F"/>
    <w:rsid w:val="3C3604A7"/>
    <w:rsid w:val="3CE50850"/>
    <w:rsid w:val="3CF33D49"/>
    <w:rsid w:val="3D867778"/>
    <w:rsid w:val="3D87623F"/>
    <w:rsid w:val="3D8E75CE"/>
    <w:rsid w:val="3EEF5BCC"/>
    <w:rsid w:val="3FD95A26"/>
    <w:rsid w:val="403573C0"/>
    <w:rsid w:val="41350D9C"/>
    <w:rsid w:val="414A5F02"/>
    <w:rsid w:val="41FF0000"/>
    <w:rsid w:val="42725710"/>
    <w:rsid w:val="43522374"/>
    <w:rsid w:val="43B835F7"/>
    <w:rsid w:val="44B32A49"/>
    <w:rsid w:val="44CC6C2E"/>
    <w:rsid w:val="44E70BEC"/>
    <w:rsid w:val="45D43FEC"/>
    <w:rsid w:val="460622AD"/>
    <w:rsid w:val="465852A0"/>
    <w:rsid w:val="482F4468"/>
    <w:rsid w:val="48831A29"/>
    <w:rsid w:val="48AC01A8"/>
    <w:rsid w:val="48B300F6"/>
    <w:rsid w:val="48CE6D17"/>
    <w:rsid w:val="4A734253"/>
    <w:rsid w:val="4AE72885"/>
    <w:rsid w:val="4BDE007E"/>
    <w:rsid w:val="4C215AB1"/>
    <w:rsid w:val="4CC50B32"/>
    <w:rsid w:val="4CD945DE"/>
    <w:rsid w:val="4D3F401F"/>
    <w:rsid w:val="4E1C0C26"/>
    <w:rsid w:val="4E455599"/>
    <w:rsid w:val="4E49110B"/>
    <w:rsid w:val="4F713687"/>
    <w:rsid w:val="4FED287A"/>
    <w:rsid w:val="51781DA1"/>
    <w:rsid w:val="52360F3D"/>
    <w:rsid w:val="52492CCE"/>
    <w:rsid w:val="529052D3"/>
    <w:rsid w:val="52C80F6D"/>
    <w:rsid w:val="5334431C"/>
    <w:rsid w:val="53EE08C4"/>
    <w:rsid w:val="54407B9D"/>
    <w:rsid w:val="54A15EE3"/>
    <w:rsid w:val="54AD6A7C"/>
    <w:rsid w:val="54B1194F"/>
    <w:rsid w:val="55976D48"/>
    <w:rsid w:val="55F65E7E"/>
    <w:rsid w:val="57396991"/>
    <w:rsid w:val="584729DA"/>
    <w:rsid w:val="590B6E93"/>
    <w:rsid w:val="593A30B0"/>
    <w:rsid w:val="5B445318"/>
    <w:rsid w:val="5B9F5A60"/>
    <w:rsid w:val="5C613461"/>
    <w:rsid w:val="5D4A709B"/>
    <w:rsid w:val="5E562BBC"/>
    <w:rsid w:val="5EA06D09"/>
    <w:rsid w:val="5EE66E8C"/>
    <w:rsid w:val="62613C34"/>
    <w:rsid w:val="62723D85"/>
    <w:rsid w:val="63125BD8"/>
    <w:rsid w:val="633729A4"/>
    <w:rsid w:val="64E52F3A"/>
    <w:rsid w:val="653A1C66"/>
    <w:rsid w:val="65CD559F"/>
    <w:rsid w:val="65F25F64"/>
    <w:rsid w:val="666A489B"/>
    <w:rsid w:val="66A96769"/>
    <w:rsid w:val="6703252B"/>
    <w:rsid w:val="67D22629"/>
    <w:rsid w:val="688A7E1C"/>
    <w:rsid w:val="69AC5BDF"/>
    <w:rsid w:val="69AC615F"/>
    <w:rsid w:val="6B3929BF"/>
    <w:rsid w:val="6B752308"/>
    <w:rsid w:val="6BCA186A"/>
    <w:rsid w:val="6BCB4AA8"/>
    <w:rsid w:val="6C717DAE"/>
    <w:rsid w:val="6D8F4B19"/>
    <w:rsid w:val="6E3A2CD6"/>
    <w:rsid w:val="6E607732"/>
    <w:rsid w:val="6F9254AD"/>
    <w:rsid w:val="70A0033D"/>
    <w:rsid w:val="71ED7DBF"/>
    <w:rsid w:val="72264648"/>
    <w:rsid w:val="72B8066E"/>
    <w:rsid w:val="734E60FF"/>
    <w:rsid w:val="7384337A"/>
    <w:rsid w:val="739C6A21"/>
    <w:rsid w:val="73BF77DA"/>
    <w:rsid w:val="73C560AC"/>
    <w:rsid w:val="74DD01F4"/>
    <w:rsid w:val="77BC29AE"/>
    <w:rsid w:val="77FB204B"/>
    <w:rsid w:val="792637C6"/>
    <w:rsid w:val="7977271D"/>
    <w:rsid w:val="7989281A"/>
    <w:rsid w:val="7BCF4530"/>
    <w:rsid w:val="7D52449A"/>
    <w:rsid w:val="7DA23E9B"/>
    <w:rsid w:val="7DA90B73"/>
    <w:rsid w:val="7DDF11A4"/>
    <w:rsid w:val="7E92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link w:val="19"/>
    <w:qFormat/>
    <w:uiPriority w:val="0"/>
    <w:pPr>
      <w:keepNext/>
      <w:keepLines/>
      <w:spacing w:before="340" w:beforeLines="0" w:beforeAutospacing="0" w:after="330" w:afterLines="0" w:afterAutospacing="0" w:line="576" w:lineRule="auto"/>
      <w:outlineLvl w:val="0"/>
    </w:pPr>
    <w:rPr>
      <w:rFonts w:eastAsia="方正小标宋_GBK"/>
      <w:b/>
      <w:kern w:val="44"/>
      <w:sz w:val="44"/>
    </w:rPr>
  </w:style>
  <w:style w:type="paragraph" w:styleId="3">
    <w:name w:val="heading 2"/>
    <w:basedOn w:val="1"/>
    <w:next w:val="1"/>
    <w:link w:val="25"/>
    <w:unhideWhenUsed/>
    <w:qFormat/>
    <w:uiPriority w:val="0"/>
    <w:pPr>
      <w:keepNext/>
      <w:keepLines/>
      <w:spacing w:before="260" w:beforeLines="0" w:beforeAutospacing="0" w:after="260" w:afterLines="0" w:afterAutospacing="0" w:line="413" w:lineRule="auto"/>
      <w:outlineLvl w:val="1"/>
    </w:pPr>
    <w:rPr>
      <w:rFonts w:ascii="Arial" w:hAnsi="Arial" w:eastAsia="方正黑体_GBK"/>
      <w:b/>
    </w:rPr>
  </w:style>
  <w:style w:type="paragraph" w:styleId="4">
    <w:name w:val="heading 3"/>
    <w:basedOn w:val="1"/>
    <w:next w:val="1"/>
    <w:link w:val="20"/>
    <w:unhideWhenUsed/>
    <w:qFormat/>
    <w:uiPriority w:val="0"/>
    <w:pPr>
      <w:spacing w:beforeAutospacing="0" w:afterAutospacing="0" w:line="560" w:lineRule="exact"/>
      <w:ind w:firstLine="880" w:firstLineChars="200"/>
      <w:jc w:val="left"/>
      <w:outlineLvl w:val="2"/>
    </w:pPr>
    <w:rPr>
      <w:rFonts w:hint="eastAsia" w:ascii="宋体" w:hAnsi="宋体" w:eastAsia="方正楷体_GBK" w:cs="宋体"/>
      <w:b/>
      <w:kern w:val="0"/>
      <w:szCs w:val="27"/>
      <w:lang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方正仿宋_GBK"/>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rPr>
      <w:rFonts w:ascii="Calibri" w:hAnsi="Calibri" w:eastAsia="宋体" w:cs="Times New Roman"/>
      <w:szCs w:val="24"/>
    </w:rPr>
  </w:style>
  <w:style w:type="paragraph" w:styleId="7">
    <w:name w:val="Body Text First Indent"/>
    <w:basedOn w:val="6"/>
    <w:qFormat/>
    <w:uiPriority w:val="0"/>
    <w:pPr>
      <w:spacing w:after="120"/>
      <w:ind w:firstLine="420" w:firstLineChars="100"/>
    </w:pPr>
    <w:rPr>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spacing w:before="240" w:after="60"/>
      <w:jc w:val="center"/>
      <w:outlineLvl w:val="0"/>
    </w:pPr>
    <w:rPr>
      <w:rFonts w:eastAsia="宋体" w:asciiTheme="majorHAnsi" w:hAnsiTheme="majorHAnsi" w:cstheme="majorBidi"/>
      <w:bCs/>
      <w:sz w:val="44"/>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qFormat/>
    <w:uiPriority w:val="0"/>
    <w:rPr>
      <w:vertAlign w:val="superscript"/>
    </w:rPr>
  </w:style>
  <w:style w:type="character" w:customStyle="1" w:styleId="19">
    <w:name w:val="标题 1 Char"/>
    <w:link w:val="2"/>
    <w:qFormat/>
    <w:uiPriority w:val="0"/>
    <w:rPr>
      <w:rFonts w:eastAsia="方正小标宋_GBK"/>
      <w:b/>
      <w:kern w:val="44"/>
      <w:sz w:val="44"/>
    </w:rPr>
  </w:style>
  <w:style w:type="character" w:customStyle="1" w:styleId="20">
    <w:name w:val="标题 3 Char"/>
    <w:link w:val="4"/>
    <w:qFormat/>
    <w:uiPriority w:val="0"/>
    <w:rPr>
      <w:rFonts w:hint="eastAsia" w:ascii="宋体" w:hAnsi="宋体" w:eastAsia="方正楷体_GBK" w:cs="宋体"/>
      <w:b/>
      <w:kern w:val="0"/>
      <w:szCs w:val="27"/>
      <w:lang w:bidi="ar"/>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 w:type="paragraph" w:customStyle="1" w:styleId="24">
    <w:name w:val="样式1"/>
    <w:basedOn w:val="1"/>
    <w:qFormat/>
    <w:uiPriority w:val="0"/>
    <w:pPr>
      <w:tabs>
        <w:tab w:val="right" w:leader="dot" w:pos="8845"/>
      </w:tabs>
      <w:ind w:leftChars="400"/>
      <w:jc w:val="left"/>
    </w:pPr>
    <w:rPr>
      <w:rFonts w:hint="default"/>
      <w:sz w:val="20"/>
      <w:szCs w:val="20"/>
    </w:rPr>
  </w:style>
  <w:style w:type="character" w:customStyle="1" w:styleId="25">
    <w:name w:val="标题 2 Char"/>
    <w:link w:val="3"/>
    <w:qFormat/>
    <w:uiPriority w:val="0"/>
    <w:rPr>
      <w:rFonts w:ascii="Arial" w:hAnsi="Arial" w:eastAsia="方正黑体_GBK"/>
      <w:b/>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9560</Words>
  <Characters>9878</Characters>
  <Lines>0</Lines>
  <Paragraphs>0</Paragraphs>
  <TotalTime>180</TotalTime>
  <ScaleCrop>false</ScaleCrop>
  <LinksUpToDate>false</LinksUpToDate>
  <CharactersWithSpaces>10029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2024-06-21T02:58:00Z</dcterms:created>
  <dc:creator>Administrator</dc:creator>
  <cp:lastModifiedBy>Administrator</cp:lastModifiedBy>
  <cp:lastPrinted>2024-07-09T03:54:00Z</cp:lastPrinted>
  <dcterms:modified xsi:type="dcterms:W3CDTF">2024-08-05T10:18:09Z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452E740818744A798F9D9669B765DFD8_12</vt:lpwstr>
  </property>
</Properties>
</file>