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outlineLvl w:val="0"/>
        <w:rPr>
          <w:rFonts w:hint="eastAsia" w:ascii="方正大标宋简体" w:hAnsi="方正大标宋简体" w:eastAsia="方正大标宋简体" w:cs="方正大标宋简体"/>
          <w:b w:val="0"/>
          <w:bCs w:val="0"/>
          <w:color w:val="000000" w:themeColor="text1"/>
          <w:sz w:val="72"/>
          <w:szCs w:val="72"/>
          <w:lang w:val="en-US" w:eastAsia="zh-CN"/>
          <w14:textFill>
            <w14:solidFill>
              <w14:schemeClr w14:val="tx1"/>
            </w14:solidFill>
          </w14:textFill>
        </w:rPr>
      </w:pPr>
      <w:bookmarkStart w:id="0" w:name="_Toc27165"/>
      <w:bookmarkStart w:id="1" w:name="_Toc31717"/>
      <w:bookmarkStart w:id="2" w:name="_Toc6500"/>
      <w:bookmarkStart w:id="3" w:name="_Toc30469"/>
      <w:bookmarkStart w:id="4" w:name="_Toc24587"/>
      <w:bookmarkStart w:id="5" w:name="_Toc31419"/>
      <w:bookmarkStart w:id="6" w:name="_Toc24524"/>
      <w:bookmarkStart w:id="7" w:name="_Toc19902"/>
      <w:bookmarkStart w:id="8" w:name="_Toc22865"/>
      <w:bookmarkStart w:id="9" w:name="_Toc1713"/>
      <w:bookmarkStart w:id="10" w:name="_Toc423"/>
      <w:r>
        <w:rPr>
          <w:rFonts w:hint="eastAsia" w:ascii="方正大标宋简体" w:hAnsi="方正大标宋简体" w:eastAsia="方正大标宋简体" w:cs="方正大标宋简体"/>
          <w:b w:val="0"/>
          <w:bCs w:val="0"/>
          <w:color w:val="000000" w:themeColor="text1"/>
          <w:sz w:val="72"/>
          <w:szCs w:val="72"/>
          <w:lang w:val="en-US" w:eastAsia="zh-CN"/>
          <w14:textFill>
            <w14:solidFill>
              <w14:schemeClr w14:val="tx1"/>
            </w14:solidFill>
          </w14:textFill>
        </w:rPr>
        <w:t>喀什市声环境功能区</w:t>
      </w:r>
      <w:bookmarkEnd w:id="0"/>
      <w:bookmarkEnd w:id="1"/>
      <w:bookmarkEnd w:id="2"/>
      <w:bookmarkEnd w:id="3"/>
      <w:bookmarkEnd w:id="4"/>
    </w:p>
    <w:p>
      <w:pPr>
        <w:spacing w:after="0" w:line="360" w:lineRule="auto"/>
        <w:jc w:val="center"/>
        <w:outlineLvl w:val="0"/>
        <w:rPr>
          <w:rFonts w:hint="eastAsia" w:ascii="方正大标宋简体" w:hAnsi="方正大标宋简体" w:eastAsia="方正大标宋简体" w:cs="方正大标宋简体"/>
          <w:b w:val="0"/>
          <w:bCs w:val="0"/>
          <w:color w:val="000000" w:themeColor="text1"/>
          <w:sz w:val="72"/>
          <w:szCs w:val="72"/>
          <w:lang w:val="en-US" w:eastAsia="zh-CN"/>
          <w14:textFill>
            <w14:solidFill>
              <w14:schemeClr w14:val="tx1"/>
            </w14:solidFill>
          </w14:textFill>
        </w:rPr>
      </w:pPr>
      <w:bookmarkStart w:id="11" w:name="_Toc4282"/>
      <w:bookmarkStart w:id="12" w:name="_Toc20401"/>
      <w:bookmarkStart w:id="13" w:name="_Toc634"/>
      <w:bookmarkStart w:id="14" w:name="_Toc16565"/>
      <w:bookmarkStart w:id="15" w:name="_Toc3543"/>
      <w:r>
        <w:rPr>
          <w:rFonts w:hint="eastAsia" w:ascii="方正大标宋简体" w:hAnsi="方正大标宋简体" w:eastAsia="方正大标宋简体" w:cs="方正大标宋简体"/>
          <w:b w:val="0"/>
          <w:bCs w:val="0"/>
          <w:color w:val="000000" w:themeColor="text1"/>
          <w:sz w:val="72"/>
          <w:szCs w:val="72"/>
          <w:lang w:val="en-US" w:eastAsia="zh-CN"/>
          <w14:textFill>
            <w14:solidFill>
              <w14:schemeClr w14:val="tx1"/>
            </w14:solidFill>
          </w14:textFill>
        </w:rPr>
        <w:t>划分</w:t>
      </w:r>
      <w:bookmarkEnd w:id="5"/>
      <w:bookmarkEnd w:id="6"/>
      <w:bookmarkEnd w:id="7"/>
      <w:bookmarkEnd w:id="8"/>
      <w:bookmarkEnd w:id="9"/>
      <w:bookmarkEnd w:id="10"/>
      <w:bookmarkEnd w:id="11"/>
      <w:bookmarkEnd w:id="12"/>
      <w:bookmarkEnd w:id="13"/>
      <w:r>
        <w:rPr>
          <w:rFonts w:hint="eastAsia" w:ascii="方正大标宋简体" w:hAnsi="方正大标宋简体" w:eastAsia="方正大标宋简体" w:cs="方正大标宋简体"/>
          <w:b w:val="0"/>
          <w:bCs w:val="0"/>
          <w:color w:val="000000" w:themeColor="text1"/>
          <w:sz w:val="72"/>
          <w:szCs w:val="72"/>
          <w:lang w:val="en-US" w:eastAsia="zh-CN"/>
          <w14:textFill>
            <w14:solidFill>
              <w14:schemeClr w14:val="tx1"/>
            </w14:solidFill>
          </w14:textFill>
        </w:rPr>
        <w:t>方案</w:t>
      </w:r>
      <w:bookmarkEnd w:id="14"/>
      <w:bookmarkEnd w:id="15"/>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72"/>
          <w:szCs w:val="72"/>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pPr>
        <w:spacing w:after="0" w:line="520" w:lineRule="exact"/>
        <w:jc w:val="both"/>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p>
    <w:p>
      <w:pPr>
        <w:spacing w:after="0" w:line="520" w:lineRule="exact"/>
        <w:jc w:val="both"/>
        <w:rPr>
          <w:rFonts w:hint="eastAsia" w:ascii="方正大黑简体" w:hAnsi="方正大黑简体" w:eastAsia="方正大黑简体" w:cs="方正大黑简体"/>
          <w:b w:val="0"/>
          <w:bCs w:val="0"/>
          <w:color w:val="000000" w:themeColor="text1"/>
          <w:sz w:val="28"/>
          <w:szCs w:val="28"/>
          <w:lang w:val="en-US" w:eastAsia="zh-CN"/>
          <w14:textFill>
            <w14:solidFill>
              <w14:schemeClr w14:val="tx1"/>
            </w14:solidFill>
          </w14:textFill>
        </w:rPr>
      </w:pPr>
    </w:p>
    <w:p>
      <w:pPr>
        <w:spacing w:after="0" w:line="360" w:lineRule="auto"/>
        <w:jc w:val="center"/>
        <w:outlineLvl w:val="0"/>
        <w:rPr>
          <w:rFonts w:hint="default" w:ascii="方正大黑简体" w:hAnsi="方正大黑简体" w:eastAsia="方正大黑简体" w:cs="方正大黑简体"/>
          <w:b w:val="0"/>
          <w:bCs w:val="0"/>
          <w:color w:val="000000" w:themeColor="text1"/>
          <w:sz w:val="36"/>
          <w:szCs w:val="36"/>
          <w:lang w:val="en-US" w:eastAsia="zh-CN"/>
          <w14:textFill>
            <w14:solidFill>
              <w14:schemeClr w14:val="tx1"/>
            </w14:solidFill>
          </w14:textFill>
        </w:rPr>
      </w:pPr>
      <w:r>
        <w:rPr>
          <w:rFonts w:hint="eastAsia" w:ascii="方正大黑简体" w:hAnsi="方正大黑简体" w:eastAsia="方正大黑简体" w:cs="方正大黑简体"/>
          <w:b w:val="0"/>
          <w:bCs w:val="0"/>
          <w:color w:val="000000" w:themeColor="text1"/>
          <w:sz w:val="36"/>
          <w:szCs w:val="36"/>
          <w:lang w:eastAsia="zh-CN"/>
          <w14:textFill>
            <w14:solidFill>
              <w14:schemeClr w14:val="tx1"/>
            </w14:solidFill>
          </w14:textFill>
        </w:rPr>
        <w:t>喀什市</w:t>
      </w:r>
      <w:r>
        <w:rPr>
          <w:rFonts w:hint="eastAsia" w:ascii="方正大黑简体" w:hAnsi="方正大黑简体" w:eastAsia="方正大黑简体" w:cs="方正大黑简体"/>
          <w:b w:val="0"/>
          <w:bCs w:val="0"/>
          <w:color w:val="000000" w:themeColor="text1"/>
          <w:sz w:val="36"/>
          <w:szCs w:val="36"/>
          <w:lang w:val="en-US" w:eastAsia="zh-CN"/>
          <w14:textFill>
            <w14:solidFill>
              <w14:schemeClr w14:val="tx1"/>
            </w14:solidFill>
          </w14:textFill>
        </w:rPr>
        <w:t>人民政府</w:t>
      </w:r>
    </w:p>
    <w:p>
      <w:pPr>
        <w:spacing w:after="0" w:line="360" w:lineRule="auto"/>
        <w:jc w:val="center"/>
        <w:rPr>
          <w:rFonts w:hint="default" w:ascii="方正仿宋_GB2312" w:hAnsi="方正仿宋_GB2312" w:eastAsia="方正仿宋_GB2312" w:cs="方正仿宋_GB2312"/>
          <w:b/>
          <w:sz w:val="32"/>
          <w:szCs w:val="32"/>
          <w:lang w:val="en-US" w:eastAsia="zh-CN"/>
        </w:rPr>
        <w:sectPr>
          <w:footerReference r:id="rId5"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方正大黑简体" w:hAnsi="方正大黑简体" w:eastAsia="方正大黑简体" w:cs="方正大黑简体"/>
          <w:b w:val="0"/>
          <w:bCs w:val="0"/>
          <w:color w:val="000000" w:themeColor="text1"/>
          <w:sz w:val="36"/>
          <w:szCs w:val="36"/>
          <w:lang w:eastAsia="zh-CN"/>
          <w14:textFill>
            <w14:solidFill>
              <w14:schemeClr w14:val="tx1"/>
            </w14:solidFill>
          </w14:textFill>
        </w:rPr>
        <w:t>二〇二</w:t>
      </w:r>
      <w:r>
        <w:rPr>
          <w:rFonts w:hint="eastAsia" w:ascii="方正大黑简体" w:hAnsi="方正大黑简体" w:eastAsia="方正大黑简体" w:cs="方正大黑简体"/>
          <w:b w:val="0"/>
          <w:bCs w:val="0"/>
          <w:color w:val="000000" w:themeColor="text1"/>
          <w:sz w:val="36"/>
          <w:szCs w:val="36"/>
          <w:lang w:val="en-US" w:eastAsia="zh-CN"/>
          <w14:textFill>
            <w14:solidFill>
              <w14:schemeClr w14:val="tx1"/>
            </w14:solidFill>
          </w14:textFill>
        </w:rPr>
        <w:t>四</w:t>
      </w:r>
      <w:r>
        <w:rPr>
          <w:rFonts w:hint="eastAsia" w:ascii="方正大黑简体" w:hAnsi="方正大黑简体" w:eastAsia="方正大黑简体" w:cs="方正大黑简体"/>
          <w:b w:val="0"/>
          <w:bCs w:val="0"/>
          <w:color w:val="000000" w:themeColor="text1"/>
          <w:sz w:val="36"/>
          <w:szCs w:val="36"/>
          <w:lang w:eastAsia="zh-CN"/>
          <w14:textFill>
            <w14:solidFill>
              <w14:schemeClr w14:val="tx1"/>
            </w14:solidFill>
          </w14:textFill>
        </w:rPr>
        <w:t>年</w:t>
      </w:r>
      <w:r>
        <w:rPr>
          <w:rFonts w:hint="eastAsia" w:ascii="方正大黑简体" w:hAnsi="方正大黑简体" w:eastAsia="方正大黑简体" w:cs="方正大黑简体"/>
          <w:b w:val="0"/>
          <w:bCs w:val="0"/>
          <w:color w:val="000000" w:themeColor="text1"/>
          <w:sz w:val="36"/>
          <w:szCs w:val="36"/>
          <w:lang w:val="en-US" w:eastAsia="zh-CN"/>
          <w14:textFill>
            <w14:solidFill>
              <w14:schemeClr w14:val="tx1"/>
            </w14:solidFill>
          </w14:textFill>
        </w:rPr>
        <w:t>十二月</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pPr>
      <w:bookmarkStart w:id="16" w:name="_Toc4171_WPSOffice_Level1"/>
      <w:bookmarkStart w:id="17" w:name="_Toc32309"/>
      <w:bookmarkStart w:id="18" w:name="_Toc5455"/>
      <w:bookmarkStart w:id="19" w:name="_Toc5686"/>
      <w:bookmarkStart w:id="20" w:name="_Toc17834"/>
      <w:bookmarkStart w:id="21" w:name="_Toc3560"/>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为贯彻落实《中华人民共和国环境保护法》《中华人民共和国噪声</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污染防治法》，</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依据</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《声环境质量标准》（GB3096-2008）、《声环境功能区划分技术规范》（GB/T15190-2014）</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等国家标准，特制定了喀什市声环境功能区划分</w:t>
      </w:r>
      <w:r>
        <w:rPr>
          <w:rFonts w:hint="eastAsia" w:ascii="方正仿宋_GB2312" w:hAnsi="方正仿宋_GB2312" w:eastAsia="方正仿宋_GB2312" w:cs="方正仿宋_GB2312"/>
          <w:snapToGrid w:val="0"/>
          <w:color w:val="000000"/>
          <w:kern w:val="0"/>
          <w:sz w:val="28"/>
          <w:szCs w:val="28"/>
          <w:lang w:val="en-US" w:eastAsia="zh-CN" w:bidi="ar-SA"/>
        </w:rPr>
        <w:t>（简称“区划”）</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方案。</w:t>
      </w:r>
    </w:p>
    <w:bookmarkEnd w:id="16"/>
    <w:bookmarkEnd w:id="17"/>
    <w:bookmarkEnd w:id="18"/>
    <w:bookmarkEnd w:id="19"/>
    <w:bookmarkEnd w:id="20"/>
    <w:p>
      <w:pPr>
        <w:pStyle w:val="4"/>
        <w:keepNext w:val="0"/>
        <w:keepLines w:val="0"/>
        <w:pageBreakBefore w:val="0"/>
        <w:widowControl/>
        <w:kinsoku/>
        <w:wordWrap/>
        <w:overflowPunct/>
        <w:topLinePunct w:val="0"/>
        <w:autoSpaceDE/>
        <w:autoSpaceDN/>
        <w:bidi w:val="0"/>
        <w:adjustRightInd/>
        <w:snapToGrid/>
        <w:spacing w:before="0" w:after="313" w:afterLines="100" w:line="700" w:lineRule="exact"/>
        <w:ind w:firstLine="640" w:firstLineChars="200"/>
        <w:textAlignment w:val="auto"/>
        <w:outlineLvl w:val="0"/>
        <w:rPr>
          <w:rFonts w:hint="eastAsia"/>
          <w:lang w:val="en-US" w:eastAsia="zh-CN"/>
        </w:rPr>
      </w:pPr>
      <w:bookmarkStart w:id="22" w:name="_Toc4164"/>
      <w:bookmarkStart w:id="23" w:name="_Toc30176"/>
      <w:bookmarkStart w:id="24" w:name="_Toc22065"/>
      <w:bookmarkStart w:id="25" w:name="_Toc26377_WPSOffice_Level1"/>
      <w:bookmarkStart w:id="26" w:name="_Toc19984"/>
      <w:bookmarkStart w:id="27" w:name="_Toc28951"/>
      <w:r>
        <w:rPr>
          <w:rFonts w:hint="eastAsia"/>
          <w:lang w:val="en-US" w:eastAsia="zh-CN"/>
        </w:rPr>
        <w:t>一、区划适用范围</w:t>
      </w:r>
      <w:bookmarkEnd w:id="22"/>
    </w:p>
    <w:p>
      <w:pPr>
        <w:keepNext w:val="0"/>
        <w:keepLines w:val="0"/>
        <w:widowControl/>
        <w:suppressLineNumbers w:val="0"/>
        <w:ind w:firstLine="560" w:firstLineChars="200"/>
        <w:jc w:val="left"/>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pPr>
      <w:bookmarkStart w:id="28" w:name="_Toc14216"/>
      <w:r>
        <w:rPr>
          <w:rFonts w:hint="eastAsia" w:ascii="方正仿宋_GB2312" w:hAnsi="方正仿宋_GB2312" w:eastAsia="方正仿宋_GB2312" w:cs="方正仿宋_GB2312"/>
          <w:sz w:val="28"/>
          <w:szCs w:val="28"/>
          <w:lang w:val="en-US" w:eastAsia="zh-CN"/>
        </w:rPr>
        <w:t>将区划范围限定在喀什市中心城区、</w:t>
      </w:r>
      <w:r>
        <w:rPr>
          <w:rFonts w:hint="eastAsia" w:ascii="方正仿宋_GB2312" w:hAnsi="方正仿宋_GB2312" w:eastAsia="方正仿宋_GB2312" w:cs="方正仿宋_GB2312"/>
          <w:snapToGrid w:val="0"/>
          <w:color w:val="000000"/>
          <w:kern w:val="0"/>
          <w:sz w:val="28"/>
          <w:szCs w:val="28"/>
          <w:lang w:val="en-US" w:eastAsia="zh-CN" w:bidi="ar-SA"/>
        </w:rPr>
        <w:t>阿瓦提乡</w:t>
      </w:r>
      <w:r>
        <w:rPr>
          <w:rFonts w:hint="eastAsia" w:ascii="方正仿宋_GB2312" w:hAnsi="方正仿宋_GB2312" w:eastAsia="方正仿宋_GB2312" w:cs="方正仿宋_GB2312"/>
          <w:snapToGrid w:val="0"/>
          <w:color w:val="000000"/>
          <w:kern w:val="0"/>
          <w:sz w:val="28"/>
          <w:szCs w:val="28"/>
          <w:vertAlign w:val="baseline"/>
          <w:lang w:val="en-US" w:eastAsia="zh-CN" w:bidi="ar-SA"/>
        </w:rPr>
        <w:t>、</w:t>
      </w:r>
      <w:r>
        <w:rPr>
          <w:rFonts w:hint="eastAsia" w:ascii="方正仿宋_GB2312" w:hAnsi="方正仿宋_GB2312" w:eastAsia="方正仿宋_GB2312" w:cs="方正仿宋_GB2312"/>
          <w:snapToGrid w:val="0"/>
          <w:color w:val="000000"/>
          <w:kern w:val="0"/>
          <w:sz w:val="28"/>
          <w:szCs w:val="28"/>
          <w:lang w:val="en-US" w:eastAsia="zh-CN" w:bidi="ar-SA"/>
        </w:rPr>
        <w:t>英吾斯坦乡</w:t>
      </w:r>
      <w:r>
        <w:rPr>
          <w:rFonts w:hint="eastAsia" w:ascii="方正仿宋_GB2312" w:hAnsi="方正仿宋_GB2312" w:eastAsia="方正仿宋_GB2312" w:cs="方正仿宋_GB2312"/>
          <w:sz w:val="28"/>
          <w:szCs w:val="28"/>
          <w:lang w:val="en-US" w:eastAsia="zh-CN"/>
        </w:rPr>
        <w:t>城镇开发边界内，主要包括</w:t>
      </w:r>
      <w:r>
        <w:rPr>
          <w:rFonts w:hint="eastAsia" w:ascii="方正仿宋_GB2312" w:hAnsi="方正仿宋_GB2312" w:eastAsia="方正仿宋_GB2312" w:cs="方正仿宋_GB2312"/>
          <w:snapToGrid w:val="0"/>
          <w:color w:val="000000"/>
          <w:spacing w:val="-8"/>
          <w:kern w:val="0"/>
          <w:sz w:val="28"/>
          <w:szCs w:val="28"/>
          <w:lang w:val="en-US" w:eastAsia="zh-CN" w:bidi="ar-SA"/>
        </w:rPr>
        <w:t>东湖街道、库木代尔瓦扎街道、恰萨街道、吾斯塘博依街道、西公园街道、西域大道街道、亚瓦格街道及迎宾大道街道、和谐街道、学府街道等10个街道，乃则尔巴格镇、夏马勒巴格镇、伯什克然木乡、多来特巴格乡、浩罕乡、荒地乡、帕哈太克里乡、色满乡、</w:t>
      </w:r>
      <w:r>
        <w:rPr>
          <w:rFonts w:hint="eastAsia" w:ascii="方正仿宋_GB2312" w:hAnsi="方正仿宋_GB2312" w:eastAsia="方正仿宋_GB2312" w:cs="方正仿宋_GB2312"/>
          <w:snapToGrid w:val="0"/>
          <w:color w:val="000000"/>
          <w:kern w:val="0"/>
          <w:sz w:val="28"/>
          <w:szCs w:val="28"/>
          <w:lang w:val="en-US" w:eastAsia="zh-CN" w:bidi="ar-SA"/>
        </w:rPr>
        <w:t>阿瓦提乡</w:t>
      </w:r>
      <w:r>
        <w:rPr>
          <w:rFonts w:hint="eastAsia" w:ascii="方正仿宋_GB2312" w:hAnsi="方正仿宋_GB2312" w:eastAsia="方正仿宋_GB2312" w:cs="方正仿宋_GB2312"/>
          <w:snapToGrid w:val="0"/>
          <w:color w:val="000000"/>
          <w:kern w:val="0"/>
          <w:sz w:val="28"/>
          <w:szCs w:val="28"/>
          <w:vertAlign w:val="baseline"/>
          <w:lang w:val="en-US" w:eastAsia="zh-CN" w:bidi="ar-SA"/>
        </w:rPr>
        <w:t>、</w:t>
      </w:r>
      <w:r>
        <w:rPr>
          <w:rFonts w:hint="eastAsia" w:ascii="方正仿宋_GB2312" w:hAnsi="方正仿宋_GB2312" w:eastAsia="方正仿宋_GB2312" w:cs="方正仿宋_GB2312"/>
          <w:snapToGrid w:val="0"/>
          <w:color w:val="000000"/>
          <w:kern w:val="0"/>
          <w:sz w:val="28"/>
          <w:szCs w:val="28"/>
          <w:lang w:val="en-US" w:eastAsia="zh-CN" w:bidi="ar-SA"/>
        </w:rPr>
        <w:t>英吾斯坦乡等10</w:t>
      </w:r>
      <w:r>
        <w:rPr>
          <w:rFonts w:hint="eastAsia" w:ascii="方正仿宋_GB2312" w:hAnsi="方正仿宋_GB2312" w:eastAsia="方正仿宋_GB2312" w:cs="方正仿宋_GB2312"/>
          <w:snapToGrid w:val="0"/>
          <w:color w:val="000000"/>
          <w:spacing w:val="-8"/>
          <w:kern w:val="0"/>
          <w:sz w:val="28"/>
          <w:szCs w:val="28"/>
          <w:lang w:val="en-US" w:eastAsia="zh-CN" w:bidi="ar-SA"/>
        </w:rPr>
        <w:t>个乡镇镇区（集镇）</w:t>
      </w:r>
      <w:r>
        <w:rPr>
          <w:rFonts w:hint="eastAsia" w:ascii="方正仿宋_GB2312" w:hAnsi="方正仿宋_GB2312" w:eastAsia="方正仿宋_GB2312" w:cs="方正仿宋_GB2312"/>
          <w:sz w:val="28"/>
          <w:szCs w:val="28"/>
          <w:lang w:val="en-US" w:eastAsia="zh-CN"/>
        </w:rPr>
        <w:t>。机场区域不适用本区划。</w:t>
      </w:r>
    </w:p>
    <w:p>
      <w:pPr>
        <w:pStyle w:val="4"/>
        <w:bidi w:val="0"/>
        <w:ind w:firstLine="640" w:firstLineChars="200"/>
        <w:outlineLvl w:val="0"/>
        <w:rPr>
          <w:rFonts w:hint="eastAsia"/>
          <w:lang w:val="en-US" w:eastAsia="zh-CN"/>
        </w:rPr>
      </w:pPr>
      <w:r>
        <w:rPr>
          <w:rFonts w:hint="eastAsia"/>
          <w:lang w:val="en-US" w:eastAsia="zh-CN"/>
        </w:rPr>
        <w:t>二、区划期限</w:t>
      </w:r>
      <w:bookmarkEnd w:id="28"/>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新区划实施</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期限时间为202</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年</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202</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年。</w:t>
      </w:r>
    </w:p>
    <w:p>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eastAsia"/>
          <w:lang w:val="en-US" w:eastAsia="zh-CN"/>
        </w:rPr>
      </w:pPr>
      <w:bookmarkStart w:id="29" w:name="_Toc16550"/>
      <w:r>
        <w:rPr>
          <w:rFonts w:hint="eastAsia"/>
          <w:lang w:val="en-US" w:eastAsia="zh-CN"/>
        </w:rPr>
        <w:t>三、区划的主要依据</w:t>
      </w:r>
      <w:bookmarkEnd w:id="23"/>
      <w:bookmarkEnd w:id="24"/>
      <w:bookmarkEnd w:id="25"/>
      <w:bookmarkEnd w:id="26"/>
      <w:bookmarkEnd w:id="27"/>
      <w:bookmarkEnd w:id="29"/>
    </w:p>
    <w:p>
      <w:pPr>
        <w:pStyle w:val="5"/>
        <w:keepNext w:val="0"/>
        <w:keepLines w:val="0"/>
        <w:pageBreakBefore w:val="0"/>
        <w:widowControl/>
        <w:kinsoku/>
        <w:wordWrap/>
        <w:overflowPunct/>
        <w:topLinePunct w:val="0"/>
        <w:autoSpaceDE/>
        <w:autoSpaceDN/>
        <w:bidi w:val="0"/>
        <w:adjustRightInd/>
        <w:snapToGrid w:val="0"/>
        <w:spacing w:before="0" w:after="0" w:line="400" w:lineRule="exact"/>
        <w:ind w:firstLine="602" w:firstLineChars="200"/>
        <w:textAlignment w:val="auto"/>
        <w:outlineLvl w:val="1"/>
        <w:rPr>
          <w:rFonts w:hint="eastAsia"/>
          <w:lang w:val="en-US" w:eastAsia="zh-CN"/>
        </w:rPr>
      </w:pPr>
      <w:bookmarkStart w:id="30" w:name="_Toc29055"/>
      <w:bookmarkStart w:id="31" w:name="_Toc32605_WPSOffice_Level2"/>
      <w:bookmarkStart w:id="32" w:name="_Toc6367"/>
      <w:bookmarkStart w:id="33" w:name="_Toc23730"/>
      <w:r>
        <w:rPr>
          <w:rFonts w:hint="eastAsia"/>
          <w:lang w:val="en-US" w:eastAsia="zh-CN"/>
        </w:rPr>
        <w:t>（一）法律法规</w:t>
      </w:r>
      <w:bookmarkEnd w:id="30"/>
      <w:bookmarkEnd w:id="31"/>
      <w:bookmarkEnd w:id="32"/>
      <w:bookmarkEnd w:id="33"/>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《中华人民共和国环境保护法》；</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《中华人民共和国噪声污染防治法》。</w:t>
      </w:r>
    </w:p>
    <w:p>
      <w:pPr>
        <w:pStyle w:val="5"/>
        <w:keepNext w:val="0"/>
        <w:keepLines w:val="0"/>
        <w:pageBreakBefore w:val="0"/>
        <w:widowControl/>
        <w:kinsoku/>
        <w:wordWrap/>
        <w:overflowPunct/>
        <w:topLinePunct w:val="0"/>
        <w:autoSpaceDE/>
        <w:autoSpaceDN/>
        <w:bidi w:val="0"/>
        <w:adjustRightInd/>
        <w:snapToGrid/>
        <w:spacing w:before="0" w:after="0" w:line="360" w:lineRule="auto"/>
        <w:ind w:firstLine="602" w:firstLineChars="200"/>
        <w:textAlignment w:val="auto"/>
        <w:outlineLvl w:val="1"/>
        <w:rPr>
          <w:rFonts w:hint="eastAsia"/>
          <w:lang w:val="en-US" w:eastAsia="zh-CN"/>
        </w:rPr>
      </w:pPr>
      <w:bookmarkStart w:id="34" w:name="_Toc797"/>
      <w:bookmarkStart w:id="35" w:name="_Toc8179"/>
      <w:bookmarkStart w:id="36" w:name="_Toc24951"/>
      <w:bookmarkStart w:id="37" w:name="_Toc28070_WPSOffice_Level2"/>
      <w:r>
        <w:rPr>
          <w:rFonts w:hint="eastAsia"/>
          <w:lang w:val="en-US" w:eastAsia="zh-CN"/>
        </w:rPr>
        <w:t>（二）规范标准</w:t>
      </w:r>
      <w:bookmarkEnd w:id="34"/>
      <w:bookmarkEnd w:id="35"/>
      <w:bookmarkEnd w:id="36"/>
      <w:bookmarkEnd w:id="37"/>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《声环境功能区划分技术规范》（GB/T15190-2014）；</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《声环境质量标准》（GB3096-2008）；</w:t>
      </w:r>
    </w:p>
    <w:p>
      <w:pPr>
        <w:keepNext w:val="0"/>
        <w:keepLines w:val="0"/>
        <w:pageBreakBefore w:val="0"/>
        <w:widowControl/>
        <w:kinsoku/>
        <w:wordWrap/>
        <w:overflowPunct/>
        <w:topLinePunct w:val="0"/>
        <w:autoSpaceDE/>
        <w:autoSpaceDN/>
        <w:bidi w:val="0"/>
        <w:adjustRightInd/>
        <w:snapToGrid/>
        <w:spacing w:after="0" w:line="360" w:lineRule="auto"/>
        <w:ind w:left="559" w:leftChars="254" w:firstLine="0" w:firstLineChars="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《环境噪声监测技术规范城市声环境常规监测》（HJ640-2012）；《工业企业厂界环境噪声排放标准》（GB 12348-2008）；</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《社会生活环境噪声排放标准》（GB 22337-2008）；</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《铁路边界噪声限值及其测量方法》（GB12525-90）；</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《声学环境噪声测量方法》（GB3222-94）；</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《功能区声环境质量自动监测能力建设技术要求（试行）》（总站物字〔2023〕13号）；</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《城市用地分类与规划建设用地标准》（GB50137-2011）；</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《自然资源部关于印发《国土空间调查、规划、用途管制用地用海分类指南》的通知自然资发〔2023〕234号》。</w:t>
      </w:r>
    </w:p>
    <w:p>
      <w:pPr>
        <w:pStyle w:val="5"/>
        <w:keepNext w:val="0"/>
        <w:keepLines w:val="0"/>
        <w:pageBreakBefore w:val="0"/>
        <w:widowControl/>
        <w:kinsoku/>
        <w:wordWrap/>
        <w:overflowPunct/>
        <w:topLinePunct w:val="0"/>
        <w:autoSpaceDE/>
        <w:autoSpaceDN/>
        <w:bidi w:val="0"/>
        <w:adjustRightInd/>
        <w:snapToGrid/>
        <w:spacing w:before="0" w:after="0" w:line="360" w:lineRule="auto"/>
        <w:ind w:firstLine="602" w:firstLineChars="200"/>
        <w:textAlignment w:val="auto"/>
        <w:outlineLvl w:val="1"/>
        <w:rPr>
          <w:rFonts w:hint="eastAsia"/>
          <w:lang w:val="en-US" w:eastAsia="zh-CN"/>
        </w:rPr>
      </w:pPr>
      <w:bookmarkStart w:id="38" w:name="_Toc4111"/>
      <w:bookmarkStart w:id="39" w:name="_Toc17325"/>
      <w:bookmarkStart w:id="40" w:name="_Toc16045_WPSOffice_Level2"/>
      <w:bookmarkStart w:id="41" w:name="_Toc9577"/>
      <w:r>
        <w:rPr>
          <w:rFonts w:hint="eastAsia"/>
          <w:lang w:val="en-US" w:eastAsia="zh-CN"/>
        </w:rPr>
        <w:t>（三）其他依据</w:t>
      </w:r>
      <w:bookmarkEnd w:id="38"/>
      <w:bookmarkEnd w:id="39"/>
      <w:bookmarkEnd w:id="40"/>
      <w:bookmarkEnd w:id="41"/>
    </w:p>
    <w:p>
      <w:pPr>
        <w:keepNext w:val="0"/>
        <w:keepLines w:val="0"/>
        <w:pageBreakBefore w:val="0"/>
        <w:widowControl/>
        <w:kinsoku/>
        <w:wordWrap/>
        <w:overflowPunct/>
        <w:topLinePunct w:val="0"/>
        <w:autoSpaceDE/>
        <w:autoSpaceDN/>
        <w:bidi w:val="0"/>
        <w:adjustRightInd/>
        <w:snapToGrid/>
        <w:spacing w:after="0" w:line="360" w:lineRule="auto"/>
        <w:ind w:left="638" w:leftChars="29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《关于加强环境噪声污染防治工作改善城乡声环境质量的指导</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sz w:val="28"/>
          <w:szCs w:val="28"/>
          <w:lang w:val="en-US" w:eastAsia="zh-CN"/>
        </w:rPr>
        <w:t>意</w:t>
      </w:r>
      <w:r>
        <w:rPr>
          <w:rFonts w:hint="eastAsia" w:ascii="方正仿宋_GB2312" w:hAnsi="方正仿宋_GB2312" w:eastAsia="方正仿宋_GB2312" w:cs="方正仿宋_GB2312"/>
          <w:sz w:val="28"/>
          <w:szCs w:val="28"/>
        </w:rPr>
        <w:t>见》环发</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2010</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144号</w:t>
      </w:r>
      <w:r>
        <w:rPr>
          <w:rFonts w:hint="eastAsia" w:ascii="方正仿宋_GB2312" w:hAnsi="方正仿宋_GB2312" w:eastAsia="方正仿宋_GB2312" w:cs="方正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《关于加强和规范声环境功能区划分管理工作的通知》（环办大气函〔2017〕1709号）；</w:t>
      </w:r>
    </w:p>
    <w:p>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《“十四五”噪声污染防治行动计划》（环大气〔2023〕1号）；</w:t>
      </w:r>
    </w:p>
    <w:p>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《关于加强噪声监测工作的意见》（环办监测〔2023〕2号）；</w:t>
      </w:r>
    </w:p>
    <w:p>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《关于加强噪声监测工作的通知》（新环办便函〔2023〕28号）；</w:t>
      </w:r>
    </w:p>
    <w:p>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val="en-US" w:eastAsia="zh-CN" w:bidi="ar-SA"/>
        </w:rPr>
      </w:pPr>
      <w:r>
        <w:rPr>
          <w:rFonts w:hint="eastAsia" w:ascii="方正仿宋_GB2312" w:hAnsi="方正仿宋_GB2312" w:eastAsia="方正仿宋_GB2312" w:cs="方正仿宋_GB2312"/>
          <w:kern w:val="2"/>
          <w:sz w:val="28"/>
          <w:szCs w:val="28"/>
          <w:lang w:val="en-US" w:eastAsia="zh-CN" w:bidi="ar-SA"/>
        </w:rPr>
        <w:t>《声环境功能区划分情况评估工作方案》环办便函〔2023〕98号文；</w:t>
      </w:r>
    </w:p>
    <w:p>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《关于组织开展声环境功能区划分情况评估工作的通知》新环办大气〔2023〕54号文；</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《喀什市</w:t>
      </w:r>
      <w:r>
        <w:rPr>
          <w:rFonts w:hint="eastAsia" w:ascii="方正仿宋_GB2312" w:hAnsi="方正仿宋_GB2312" w:eastAsia="方正仿宋_GB2312" w:cs="方正仿宋_GB2312"/>
          <w:sz w:val="28"/>
          <w:szCs w:val="28"/>
          <w:lang w:eastAsia="zh-CN"/>
        </w:rPr>
        <w:t>城市</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总体规划</w:t>
      </w:r>
      <w:r>
        <w:rPr>
          <w:rFonts w:hint="eastAsia" w:ascii="方正仿宋_GB2312" w:hAnsi="方正仿宋_GB2312" w:eastAsia="方正仿宋_GB2312" w:cs="方正仿宋_GB2312"/>
          <w:sz w:val="28"/>
          <w:szCs w:val="28"/>
          <w:lang w:eastAsia="zh-CN"/>
        </w:rPr>
        <w:t>（201</w:t>
      </w:r>
      <w:r>
        <w:rPr>
          <w:rFonts w:hint="eastAsia" w:ascii="方正仿宋_GB2312" w:hAnsi="方正仿宋_GB2312" w:eastAsia="方正仿宋_GB2312" w:cs="方正仿宋_GB2312"/>
          <w:sz w:val="28"/>
          <w:szCs w:val="28"/>
          <w:lang w:val="en-US" w:eastAsia="zh-CN"/>
        </w:rPr>
        <w:t>1</w:t>
      </w:r>
      <w:r>
        <w:rPr>
          <w:rFonts w:hint="eastAsia" w:ascii="方正仿宋_GB2312" w:hAnsi="方正仿宋_GB2312" w:eastAsia="方正仿宋_GB2312" w:cs="方正仿宋_GB2312"/>
          <w:sz w:val="28"/>
          <w:szCs w:val="28"/>
          <w:lang w:eastAsia="zh-CN"/>
        </w:rPr>
        <w:t>—2030年）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《喀什市</w:t>
      </w:r>
      <w:r>
        <w:rPr>
          <w:rFonts w:hint="eastAsia" w:ascii="方正仿宋_GB2312" w:hAnsi="方正仿宋_GB2312" w:eastAsia="方正仿宋_GB2312" w:cs="方正仿宋_GB2312"/>
          <w:sz w:val="28"/>
          <w:szCs w:val="28"/>
          <w:lang w:val="en-US" w:eastAsia="zh-CN"/>
        </w:rPr>
        <w:t>国土空间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总体规划</w:t>
      </w:r>
      <w:r>
        <w:rPr>
          <w:rFonts w:hint="eastAsia" w:ascii="方正仿宋_GB2312" w:hAnsi="方正仿宋_GB2312" w:eastAsia="方正仿宋_GB2312" w:cs="方正仿宋_GB2312"/>
          <w:sz w:val="28"/>
          <w:szCs w:val="28"/>
          <w:lang w:eastAsia="zh-CN"/>
        </w:rPr>
        <w:t>（20</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lang w:eastAsia="zh-CN"/>
        </w:rPr>
        <w:t>1—203</w:t>
      </w:r>
      <w:r>
        <w:rPr>
          <w:rFonts w:hint="eastAsia" w:ascii="方正仿宋_GB2312" w:hAnsi="方正仿宋_GB2312" w:eastAsia="方正仿宋_GB2312" w:cs="方正仿宋_GB2312"/>
          <w:sz w:val="28"/>
          <w:szCs w:val="28"/>
          <w:lang w:val="en-US" w:eastAsia="zh-CN"/>
        </w:rPr>
        <w:t>5</w:t>
      </w:r>
      <w:r>
        <w:rPr>
          <w:rFonts w:hint="eastAsia" w:ascii="方正仿宋_GB2312" w:hAnsi="方正仿宋_GB2312" w:eastAsia="方正仿宋_GB2312" w:cs="方正仿宋_GB2312"/>
          <w:sz w:val="28"/>
          <w:szCs w:val="28"/>
          <w:lang w:eastAsia="zh-CN"/>
        </w:rPr>
        <w:t>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w:t>
      </w:r>
    </w:p>
    <w:bookmarkEnd w:id="21"/>
    <w:p>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default"/>
          <w:lang w:val="en-US" w:eastAsia="zh-CN"/>
        </w:rPr>
      </w:pPr>
      <w:bookmarkStart w:id="42" w:name="_Toc8163"/>
      <w:bookmarkStart w:id="43" w:name="_Toc19964"/>
      <w:r>
        <w:rPr>
          <w:rFonts w:hint="eastAsia"/>
          <w:lang w:val="en-US" w:eastAsia="zh-CN"/>
        </w:rPr>
        <w:t>四、声环境功能区分类</w:t>
      </w:r>
      <w:bookmarkEnd w:id="42"/>
      <w:r>
        <w:rPr>
          <w:rFonts w:hint="eastAsia"/>
          <w:lang w:val="en-US" w:eastAsia="zh-CN"/>
        </w:rPr>
        <w:t>和限值</w:t>
      </w:r>
      <w:bookmarkEnd w:id="43"/>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根据《声环境质量标准》（GB3096-2008）的规定，声环境功能区按区域的使用功能特点和环境质量要求，分五种类型：</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44" w:name="_Toc11949"/>
      <w:r>
        <w:rPr>
          <w:rFonts w:hint="eastAsia" w:ascii="方正仿宋_GB2312" w:hAnsi="方正仿宋_GB2312" w:eastAsia="方正仿宋_GB2312" w:cs="方正仿宋_GB2312"/>
          <w:sz w:val="28"/>
          <w:szCs w:val="28"/>
          <w:lang w:val="en-US" w:eastAsia="zh-CN"/>
        </w:rPr>
        <w:t>0类声环境功能区：指康复疗养区等特别需要安静的区域。</w:t>
      </w:r>
      <w:bookmarkEnd w:id="44"/>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1类声环境功能区：指以居民住宅、医疗卫生、文化教育、科研设计、行政办公为主要功能，需要保持安静的区域。</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2类声环境功能区：指以商业金融、集市贸易为主要功能，或者居住、商业、工业混杂，需要维护住宅安静的区域。</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3类声环境功能区：指以工业生产、仓储物流为主要功能，需要防止工业噪声对周围环境产生严重影响的区域。</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4b类为铁路干线两侧区域。</w:t>
      </w:r>
      <w:bookmarkStart w:id="45" w:name="_Toc6352"/>
      <w:bookmarkStart w:id="46" w:name="_Toc6801"/>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依据《声环境质量标准》（GB3096-2008），0-4类区环境噪声限值如表1所示。</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outlineLvl w:val="0"/>
        <w:rPr>
          <w:rFonts w:hint="eastAsia" w:ascii="方正仿宋_GB2312" w:hAnsi="方正仿宋_GB2312" w:eastAsia="方正仿宋_GB2312" w:cs="方正仿宋_GB2312"/>
          <w:b/>
          <w:bCs/>
          <w:sz w:val="24"/>
          <w:szCs w:val="24"/>
          <w:lang w:val="en-US" w:eastAsia="zh-CN"/>
        </w:rPr>
      </w:pPr>
      <w:bookmarkStart w:id="47" w:name="_Toc15390"/>
      <w:bookmarkStart w:id="48" w:name="_Toc31643"/>
      <w:r>
        <w:rPr>
          <w:rFonts w:hint="eastAsia" w:ascii="方正仿宋_GB2312" w:hAnsi="方正仿宋_GB2312" w:eastAsia="方正仿宋_GB2312" w:cs="方正仿宋_GB2312"/>
          <w:b/>
          <w:bCs/>
          <w:sz w:val="24"/>
          <w:szCs w:val="24"/>
          <w:lang w:val="en-US" w:eastAsia="zh-CN"/>
        </w:rPr>
        <w:t>表1 声环境功能区分类及环境噪声限值</w:t>
      </w:r>
      <w:bookmarkEnd w:id="47"/>
      <w:bookmarkEnd w:id="48"/>
    </w:p>
    <w:tbl>
      <w:tblPr>
        <w:tblStyle w:val="36"/>
        <w:tblW w:w="4257"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890"/>
        <w:gridCol w:w="2268"/>
        <w:gridCol w:w="200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33" w:hRule="exact"/>
          <w:jc w:val="center"/>
        </w:trPr>
        <w:tc>
          <w:tcPr>
            <w:tcW w:w="2016"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声环境功能区分类</w:t>
            </w:r>
          </w:p>
        </w:tc>
        <w:tc>
          <w:tcPr>
            <w:tcW w:w="1582"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昼间/dB(A)</w:t>
            </w:r>
          </w:p>
        </w:tc>
        <w:tc>
          <w:tcPr>
            <w:tcW w:w="140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夜间/dB(A)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nil"/>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0类区</w:t>
            </w:r>
          </w:p>
        </w:tc>
        <w:tc>
          <w:tcPr>
            <w:tcW w:w="1582"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50</w:t>
            </w:r>
          </w:p>
        </w:tc>
        <w:tc>
          <w:tcPr>
            <w:tcW w:w="1401"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1类区</w:t>
            </w:r>
          </w:p>
        </w:tc>
        <w:tc>
          <w:tcPr>
            <w:tcW w:w="1582"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c>
          <w:tcPr>
            <w:tcW w:w="140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single" w:color="auto" w:sz="4" w:space="0"/>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2类区</w:t>
            </w:r>
          </w:p>
        </w:tc>
        <w:tc>
          <w:tcPr>
            <w:tcW w:w="1582"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60</w:t>
            </w:r>
          </w:p>
        </w:tc>
        <w:tc>
          <w:tcPr>
            <w:tcW w:w="1401" w:type="pct"/>
            <w:tcBorders>
              <w:top w:val="single" w:color="auto" w:sz="4" w:space="0"/>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nil"/>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3类区</w:t>
            </w:r>
          </w:p>
        </w:tc>
        <w:tc>
          <w:tcPr>
            <w:tcW w:w="1582"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65</w:t>
            </w:r>
          </w:p>
        </w:tc>
        <w:tc>
          <w:tcPr>
            <w:tcW w:w="1401"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nil"/>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4a类区</w:t>
            </w:r>
          </w:p>
        </w:tc>
        <w:tc>
          <w:tcPr>
            <w:tcW w:w="1582"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70</w:t>
            </w:r>
          </w:p>
        </w:tc>
        <w:tc>
          <w:tcPr>
            <w:tcW w:w="1401"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016" w:type="pct"/>
            <w:tcBorders>
              <w:top w:val="nil"/>
              <w:left w:val="single" w:color="auto" w:sz="4" w:space="0"/>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4b类区</w:t>
            </w:r>
          </w:p>
        </w:tc>
        <w:tc>
          <w:tcPr>
            <w:tcW w:w="1582"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70</w:t>
            </w:r>
          </w:p>
        </w:tc>
        <w:tc>
          <w:tcPr>
            <w:tcW w:w="1401" w:type="pct"/>
            <w:tcBorders>
              <w:top w:val="nil"/>
              <w:left w:val="nil"/>
              <w:bottom w:val="single" w:color="auto" w:sz="4" w:space="0"/>
              <w:right w:val="single" w:color="auto" w:sz="4" w:space="0"/>
            </w:tcBorders>
            <w:noWrap w:val="0"/>
            <w:tcMar>
              <w:left w:w="84" w:type="dxa"/>
              <w:right w:w="84"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60</w:t>
            </w:r>
          </w:p>
        </w:tc>
      </w:tr>
      <w:bookmarkEnd w:id="45"/>
      <w:bookmarkEnd w:id="46"/>
    </w:tbl>
    <w:p>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300" w:firstLineChars="200"/>
        <w:textAlignment w:val="auto"/>
        <w:outlineLvl w:val="0"/>
        <w:rPr>
          <w:rFonts w:hint="eastAsia"/>
          <w:sz w:val="15"/>
          <w:szCs w:val="13"/>
          <w:lang w:val="en-US" w:eastAsia="zh-CN"/>
        </w:rPr>
      </w:pPr>
      <w:bookmarkStart w:id="49" w:name="_Toc26002"/>
      <w:bookmarkStart w:id="50" w:name="_Toc13907"/>
      <w:bookmarkStart w:id="51" w:name="_Toc6070"/>
    </w:p>
    <w:p>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default" w:ascii="方正仿宋_GB2312" w:hAnsi="方正仿宋_GB2312" w:eastAsia="方正仿宋_GB2312" w:cs="方正仿宋_GB2312"/>
          <w:snapToGrid w:val="0"/>
          <w:color w:val="auto"/>
          <w:kern w:val="0"/>
          <w:sz w:val="28"/>
          <w:szCs w:val="28"/>
          <w:lang w:val="en-US" w:eastAsia="zh-CN" w:bidi="ar-SA"/>
        </w:rPr>
      </w:pPr>
      <w:r>
        <w:rPr>
          <w:rFonts w:hint="eastAsia"/>
          <w:lang w:val="en-US" w:eastAsia="zh-CN"/>
        </w:rPr>
        <w:t>五、功能区划分结果</w:t>
      </w:r>
      <w:bookmarkEnd w:id="49"/>
    </w:p>
    <w:p>
      <w:pPr>
        <w:pStyle w:val="5"/>
        <w:keepNext w:val="0"/>
        <w:keepLines w:val="0"/>
        <w:pageBreakBefore w:val="0"/>
        <w:widowControl/>
        <w:kinsoku/>
        <w:wordWrap/>
        <w:overflowPunct/>
        <w:topLinePunct w:val="0"/>
        <w:autoSpaceDE/>
        <w:autoSpaceDN/>
        <w:bidi w:val="0"/>
        <w:adjustRightInd/>
        <w:snapToGrid/>
        <w:spacing w:after="0" w:line="360" w:lineRule="auto"/>
        <w:ind w:firstLine="602" w:firstLineChars="200"/>
        <w:textAlignment w:val="auto"/>
        <w:outlineLvl w:val="1"/>
        <w:rPr>
          <w:rFonts w:hint="default"/>
          <w:lang w:val="en-US" w:eastAsia="zh-CN"/>
        </w:rPr>
      </w:pPr>
      <w:bookmarkStart w:id="52" w:name="_Toc29861"/>
      <w:r>
        <w:rPr>
          <w:rFonts w:hint="eastAsia"/>
          <w:lang w:val="en-US" w:eastAsia="zh-CN"/>
        </w:rPr>
        <w:t>（一）0类声环境功能区</w:t>
      </w:r>
      <w:bookmarkEnd w:id="52"/>
      <w:r>
        <w:rPr>
          <w:rFonts w:hint="eastAsia"/>
          <w:lang w:val="en-US" w:eastAsia="zh-CN"/>
        </w:rPr>
        <w:t>划分</w:t>
      </w:r>
    </w:p>
    <w:p>
      <w:pPr>
        <w:kinsoku w:val="0"/>
        <w:autoSpaceDE w:val="0"/>
        <w:autoSpaceDN w:val="0"/>
        <w:adjustRightInd w:val="0"/>
        <w:snapToGrid w:val="0"/>
        <w:spacing w:after="0" w:line="360" w:lineRule="auto"/>
        <w:ind w:firstLine="560" w:firstLineChars="200"/>
        <w:jc w:val="left"/>
        <w:textAlignment w:val="baseline"/>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本次声环境功能区划没有划定0类声环境功能区。</w:t>
      </w:r>
    </w:p>
    <w:p>
      <w:pPr>
        <w:pStyle w:val="5"/>
        <w:keepNext w:val="0"/>
        <w:keepLines w:val="0"/>
        <w:pageBreakBefore w:val="0"/>
        <w:widowControl/>
        <w:kinsoku/>
        <w:wordWrap/>
        <w:overflowPunct/>
        <w:topLinePunct w:val="0"/>
        <w:autoSpaceDE/>
        <w:autoSpaceDN/>
        <w:bidi w:val="0"/>
        <w:adjustRightInd/>
        <w:snapToGrid/>
        <w:spacing w:after="0" w:line="360" w:lineRule="auto"/>
        <w:ind w:firstLine="602" w:firstLineChars="200"/>
        <w:textAlignment w:val="auto"/>
        <w:outlineLvl w:val="1"/>
        <w:rPr>
          <w:rFonts w:hint="eastAsia"/>
          <w:lang w:val="en-US" w:eastAsia="zh-CN"/>
        </w:rPr>
      </w:pPr>
      <w:bookmarkStart w:id="53" w:name="_Toc21920"/>
      <w:bookmarkStart w:id="54" w:name="_Toc3113"/>
      <w:r>
        <w:rPr>
          <w:rFonts w:hint="eastAsia"/>
          <w:lang w:val="en-US" w:eastAsia="zh-CN"/>
        </w:rPr>
        <w:t>（二）1类声环境功能区划分</w:t>
      </w:r>
      <w:bookmarkEnd w:id="53"/>
      <w:bookmarkEnd w:id="54"/>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55" w:name="_Toc11026"/>
      <w:r>
        <w:rPr>
          <w:rFonts w:hint="eastAsia" w:ascii="方正仿宋_GB2312" w:hAnsi="方正仿宋_GB2312" w:eastAsia="方正仿宋_GB2312" w:cs="方正仿宋_GB2312"/>
          <w:sz w:val="28"/>
          <w:szCs w:val="28"/>
          <w:lang w:val="en-US" w:eastAsia="zh-CN"/>
        </w:rPr>
        <w:t>共划分了10个1类声环境功能区，见附图、表2。</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482" w:firstLineChars="20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napToGrid w:val="0"/>
          <w:color w:val="000000"/>
          <w:kern w:val="0"/>
          <w:sz w:val="24"/>
          <w:szCs w:val="24"/>
          <w:lang w:val="en-US" w:eastAsia="zh-CN" w:bidi="ar-SA"/>
        </w:rPr>
        <w:t>表2  1类声环境功能区划分情况统计表</w:t>
      </w:r>
    </w:p>
    <w:tbl>
      <w:tblPr>
        <w:tblStyle w:val="36"/>
        <w:tblW w:w="80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72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编号</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1-01</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东侧：尤喀孜艾热克路、达恰路、布恰路；</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南侧：430县道、中亚市场路，滨河北路，北湖公园北岸、吐曼河北岸；</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w:t>
            </w:r>
            <w:r>
              <w:rPr>
                <w:rFonts w:hint="eastAsia" w:ascii="方正仿宋_GB2312" w:hAnsi="方正仿宋_GB2312" w:eastAsia="方正仿宋_GB2312" w:cs="方正仿宋_GB2312"/>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both"/>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库木巴格路、前进路。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1-02</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ind w:left="600" w:hanging="600" w:hangingChars="300"/>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东侧：阔纳夏马勒巴格路、夏马勒巴格路、色满路、天山南路、西环路、团结路、克孜勒路都维路、解放南路；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南侧：西环路、克孜勒河北岸；</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西侧：帕米尔大道；</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北侧：吐曼河南岸、开源东路、北湖公园南岸。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9"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1-03</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吐曼河西岸线；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喀和铁路；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克孜勒河北岸、解放南路、班超路、帕依纳普路、吐曼路；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中亚市场路。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1-04</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布恰路至世纪大道延长线、世纪大道北路、城镇开发边界线、喀和铁路；</w:t>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城镇开发边界线、世纪大道、慕士塔格路、新城南路、建设路；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吐曼河东岸；</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人民东路、世纪大道、新城北路、中亚市场路、430县道。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9"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1-05</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小亚郎西岸（城镇开发边界线）、时代大道、瓦普西路；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建设路、X421、城镇开发边界线；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喀和铁路；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华电路。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1-06</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小亚郎西岸（城镇开发边界线）、瓦普西路；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城镇开发边界线、新区一路、X420；</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经一路及其规划南延长线；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深喀大道。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1"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1-07</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ind w:left="600" w:hanging="600" w:hangingChars="300"/>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大亚郎西岸（城镇开发边界线）、新区大道、城东大道、时代大道、华凌西路；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深喀大道；</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小亚郎东岸（城镇开发边界线）、新区大道、瓦普东路；</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1-08</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大亚郎西岸（城镇开发边界线）；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喀什噶尔河北岸（城镇开发边界线）；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小亚郎东岸（城镇开发边界线）；</w:t>
            </w:r>
          </w:p>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瓦普东路、学府大道、经开区范围线。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en-US" w:bidi="ar"/>
              </w:rPr>
              <w:t>1-09</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东、南、西、北侧：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b w:val="0"/>
                <w:bCs w:val="0"/>
                <w:i w:val="0"/>
                <w:iCs w:val="0"/>
                <w:color w:val="000000"/>
                <w:kern w:val="0"/>
                <w:sz w:val="21"/>
                <w:szCs w:val="21"/>
                <w:u w:val="none"/>
                <w:lang w:val="en-US" w:eastAsia="zh-CN" w:bidi="ar"/>
              </w:rPr>
              <w:t>1-10</w:t>
            </w:r>
          </w:p>
        </w:tc>
        <w:tc>
          <w:tcPr>
            <w:tcW w:w="7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东、南、 西、北侧：</w:t>
            </w:r>
            <w:r>
              <w:rPr>
                <w:rFonts w:hint="eastAsia" w:ascii="方正仿宋_GB2312" w:hAnsi="方正仿宋_GB2312" w:eastAsia="方正仿宋_GB2312" w:cs="方正仿宋_GB2312"/>
                <w:b w:val="0"/>
                <w:bCs w:val="0"/>
                <w:i w:val="0"/>
                <w:iCs w:val="0"/>
                <w:color w:val="000000"/>
                <w:kern w:val="0"/>
                <w:sz w:val="21"/>
                <w:szCs w:val="21"/>
                <w:u w:val="none"/>
                <w:lang w:val="en-US" w:eastAsia="zh-CN" w:bidi="ar"/>
              </w:rPr>
              <w:t>城镇开发边界线。</w:t>
            </w:r>
          </w:p>
        </w:tc>
      </w:tr>
    </w:tbl>
    <w:p>
      <w:pPr>
        <w:kinsoku w:val="0"/>
        <w:autoSpaceDE w:val="0"/>
        <w:autoSpaceDN w:val="0"/>
        <w:adjustRightInd w:val="0"/>
        <w:snapToGrid w:val="0"/>
        <w:spacing w:after="0" w:line="360" w:lineRule="auto"/>
        <w:jc w:val="both"/>
        <w:textAlignment w:val="baseline"/>
        <w:rPr>
          <w:rFonts w:hint="eastAsia" w:ascii="方正仿宋_GB2312" w:hAnsi="方正仿宋_GB2312" w:eastAsia="方正仿宋_GB2312" w:cs="方正仿宋_GB2312"/>
          <w:b/>
          <w:bCs/>
          <w:snapToGrid w:val="0"/>
          <w:color w:val="000000"/>
          <w:kern w:val="0"/>
          <w:sz w:val="24"/>
          <w:szCs w:val="24"/>
          <w:lang w:val="en-US" w:eastAsia="zh-CN" w:bidi="ar-SA"/>
        </w:rPr>
      </w:pPr>
    </w:p>
    <w:p>
      <w:pPr>
        <w:pStyle w:val="5"/>
        <w:keepNext w:val="0"/>
        <w:keepLines w:val="0"/>
        <w:pageBreakBefore w:val="0"/>
        <w:widowControl w:val="0"/>
        <w:kinsoku/>
        <w:wordWrap/>
        <w:overflowPunct/>
        <w:topLinePunct w:val="0"/>
        <w:autoSpaceDE/>
        <w:autoSpaceDN/>
        <w:bidi w:val="0"/>
        <w:adjustRightInd/>
        <w:snapToGrid/>
        <w:spacing w:after="0" w:line="360" w:lineRule="auto"/>
        <w:ind w:firstLine="602" w:firstLineChars="200"/>
        <w:textAlignment w:val="auto"/>
        <w:outlineLvl w:val="1"/>
        <w:rPr>
          <w:rFonts w:hint="eastAsia"/>
          <w:lang w:val="en-US" w:eastAsia="zh-CN"/>
        </w:rPr>
      </w:pPr>
      <w:bookmarkStart w:id="56" w:name="_Toc11802"/>
      <w:r>
        <w:rPr>
          <w:rFonts w:hint="eastAsia"/>
          <w:lang w:val="en-US" w:eastAsia="zh-CN"/>
        </w:rPr>
        <w:t>（三）2类声环境功能区划分</w:t>
      </w:r>
      <w:bookmarkEnd w:id="56"/>
    </w:p>
    <w:bookmarkEnd w:id="55"/>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共划分了12个2类声环境功能区，见附图、表3。</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表3   2类声环境功能区划分情况统计表</w:t>
      </w:r>
    </w:p>
    <w:tbl>
      <w:tblPr>
        <w:tblStyle w:val="36"/>
        <w:tblW w:w="80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1"/>
        <w:gridCol w:w="7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bookmarkStart w:id="57" w:name="_Toc29210"/>
            <w:bookmarkStart w:id="58" w:name="_Toc27641"/>
            <w:r>
              <w:rPr>
                <w:rFonts w:hint="eastAsia" w:ascii="方正仿宋_GB2312" w:hAnsi="方正仿宋_GB2312" w:eastAsia="方正仿宋_GB2312" w:cs="方正仿宋_GB2312"/>
                <w:b/>
                <w:bCs/>
                <w:i w:val="0"/>
                <w:iCs w:val="0"/>
                <w:color w:val="000000"/>
                <w:kern w:val="0"/>
                <w:sz w:val="20"/>
                <w:szCs w:val="20"/>
                <w:u w:val="none"/>
                <w:lang w:val="en-US" w:eastAsia="zh-CN" w:bidi="ar"/>
              </w:rPr>
              <w:t>编号</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2-01</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0"/>
                <w:szCs w:val="20"/>
                <w:u w:val="none"/>
                <w:lang w:val="en-US"/>
              </w:rPr>
            </w:pPr>
            <w:r>
              <w:rPr>
                <w:rFonts w:hint="eastAsia" w:ascii="方正仿宋_GB2312" w:hAnsi="方正仿宋_GB2312" w:eastAsia="方正仿宋_GB2312" w:cs="方正仿宋_GB2312"/>
                <w:i w:val="0"/>
                <w:iCs w:val="0"/>
                <w:color w:val="000000"/>
                <w:kern w:val="0"/>
                <w:sz w:val="20"/>
                <w:szCs w:val="20"/>
                <w:u w:val="none"/>
                <w:lang w:val="en-US" w:eastAsia="zh-CN" w:bidi="ar"/>
              </w:rPr>
              <w:t>2-02</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世纪大道北路；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default" w:ascii="方正仿宋_GB2312" w:hAnsi="方正仿宋_GB2312" w:eastAsia="方正仿宋_GB2312" w:cs="方正仿宋_GB2312"/>
                <w:i w:val="0"/>
                <w:iCs w:val="0"/>
                <w:color w:val="000000"/>
                <w:kern w:val="0"/>
                <w:sz w:val="21"/>
                <w:szCs w:val="21"/>
                <w:u w:val="none"/>
                <w:lang w:val="en-US" w:eastAsia="zh-CN" w:bidi="ar"/>
              </w:rPr>
              <w:t>X430</w:t>
            </w:r>
            <w:r>
              <w:rPr>
                <w:rFonts w:hint="eastAsia" w:ascii="方正仿宋_GB2312" w:hAnsi="方正仿宋_GB2312" w:eastAsia="方正仿宋_GB2312" w:cs="方正仿宋_GB2312"/>
                <w:i w:val="0"/>
                <w:iCs w:val="0"/>
                <w:color w:val="000000"/>
                <w:kern w:val="0"/>
                <w:sz w:val="21"/>
                <w:szCs w:val="21"/>
                <w:u w:val="none"/>
                <w:lang w:val="en-US" w:eastAsia="zh-CN" w:bidi="ar"/>
              </w:rPr>
              <w:t>、布恰路南延长线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民生路；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布恰路。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9"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2-03</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帕米尔大道</w:t>
            </w:r>
            <w:r>
              <w:rPr>
                <w:rFonts w:hint="eastAsia" w:ascii="方正仿宋_GB2312" w:hAnsi="方正仿宋_GB2312" w:eastAsia="方正仿宋_GB2312" w:cs="方正仿宋_GB2312"/>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墩买里路；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吐格路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2-04</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吐曼河西岸、中亚市场路、吐曼路、帕依纳普路；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班超路；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解放南路、克孜勒路都维路、团结路、西环路、天山南路；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色满路、夏马勒巴格路、阔纳夏马勒巴格、开源东路、解放北路。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2-05</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新城北路；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人民东路、世纪大道；</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滨河北路；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中亚市场路。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2-06</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2-07</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2-08</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世纪大道、城镇开发边界线、经一路南延长线</w:t>
            </w:r>
            <w:r>
              <w:rPr>
                <w:rFonts w:hint="eastAsia" w:ascii="方正仿宋_GB2312" w:hAnsi="方正仿宋_GB2312" w:eastAsia="方正仿宋_GB2312" w:cs="方正仿宋_GB2312"/>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吐曼河东岸（城镇开发边界线）；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建设路、新城南路、慕士塔格路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2-09</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小亚郎西岸（城镇开发边界线）；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学府大道、瓦普西路、深喀大道；</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经一路；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建设路、瓦普西路、时代大道。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2-10</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新区一路</w:t>
            </w:r>
            <w:r>
              <w:rPr>
                <w:rFonts w:hint="eastAsia" w:ascii="方正仿宋_GB2312" w:hAnsi="方正仿宋_GB2312" w:eastAsia="方正仿宋_GB2312" w:cs="方正仿宋_GB2312"/>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城镇开发边线；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西侧：</w:t>
            </w:r>
            <w:r>
              <w:rPr>
                <w:rFonts w:hint="eastAsia" w:ascii="方正仿宋_GB2312" w:hAnsi="方正仿宋_GB2312" w:eastAsia="方正仿宋_GB2312" w:cs="方正仿宋_GB2312"/>
                <w:i w:val="0"/>
                <w:iCs w:val="0"/>
                <w:color w:val="000000"/>
                <w:kern w:val="0"/>
                <w:sz w:val="21"/>
                <w:szCs w:val="21"/>
                <w:u w:val="none"/>
                <w:lang w:val="en-US" w:eastAsia="zh-CN" w:bidi="ar"/>
              </w:rPr>
              <w:t>城镇开发边线；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北侧：</w:t>
            </w:r>
            <w:r>
              <w:rPr>
                <w:rFonts w:hint="default" w:ascii="方正仿宋_GB2312" w:hAnsi="方正仿宋_GB2312" w:eastAsia="方正仿宋_GB2312" w:cs="方正仿宋_GB2312"/>
                <w:i w:val="0"/>
                <w:iCs w:val="0"/>
                <w:color w:val="000000"/>
                <w:kern w:val="0"/>
                <w:sz w:val="21"/>
                <w:szCs w:val="21"/>
                <w:u w:val="none"/>
                <w:lang w:val="en-US" w:eastAsia="zh-CN" w:bidi="ar"/>
              </w:rPr>
              <w:t>X420</w:t>
            </w:r>
            <w:r>
              <w:rPr>
                <w:rFonts w:hint="eastAsia" w:ascii="方正仿宋_GB2312" w:hAnsi="方正仿宋_GB2312" w:eastAsia="方正仿宋_GB2312" w:cs="方正仿宋_GB2312"/>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2-11</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exact"/>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2-12</w:t>
            </w:r>
          </w:p>
        </w:tc>
        <w:tc>
          <w:tcPr>
            <w:tcW w:w="7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bl>
    <w:p>
      <w:pPr>
        <w:pStyle w:val="5"/>
        <w:keepNext w:val="0"/>
        <w:keepLines w:val="0"/>
        <w:pageBreakBefore w:val="0"/>
        <w:widowControl/>
        <w:kinsoku/>
        <w:wordWrap/>
        <w:overflowPunct/>
        <w:topLinePunct w:val="0"/>
        <w:autoSpaceDE/>
        <w:autoSpaceDN/>
        <w:bidi w:val="0"/>
        <w:adjustRightInd/>
        <w:snapToGrid/>
        <w:spacing w:after="0" w:line="560" w:lineRule="exact"/>
        <w:ind w:firstLine="602" w:firstLineChars="200"/>
        <w:textAlignment w:val="auto"/>
        <w:outlineLvl w:val="1"/>
        <w:rPr>
          <w:rFonts w:hint="eastAsia"/>
          <w:lang w:val="en-US" w:eastAsia="zh-CN"/>
        </w:rPr>
      </w:pPr>
      <w:r>
        <w:rPr>
          <w:rFonts w:hint="eastAsia"/>
          <w:lang w:val="en-US" w:eastAsia="zh-CN"/>
        </w:rPr>
        <w:t>（四）3类声环境功能区划分</w:t>
      </w:r>
      <w:bookmarkEnd w:id="57"/>
      <w:bookmarkEnd w:id="58"/>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共划分6个3类声环境功能区，见附图、表4。</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表4  3类声环境功能区划分情况统计表</w:t>
      </w:r>
    </w:p>
    <w:tbl>
      <w:tblPr>
        <w:tblStyle w:val="36"/>
        <w:tblW w:w="80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9"/>
        <w:gridCol w:w="7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exac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1"/>
                <w:szCs w:val="21"/>
                <w:u w:val="none"/>
                <w:lang w:val="en-US" w:eastAsia="zh-CN" w:bidi="ar"/>
              </w:rPr>
            </w:pPr>
            <w:bookmarkStart w:id="59" w:name="_Toc16070"/>
            <w:bookmarkStart w:id="60" w:name="_Toc1873"/>
            <w:r>
              <w:rPr>
                <w:rFonts w:hint="eastAsia" w:ascii="方正仿宋_GB2312" w:hAnsi="方正仿宋_GB2312" w:eastAsia="方正仿宋_GB2312" w:cs="方正仿宋_GB2312"/>
                <w:b/>
                <w:bCs/>
                <w:i w:val="0"/>
                <w:iCs w:val="0"/>
                <w:color w:val="000000"/>
                <w:kern w:val="0"/>
                <w:sz w:val="21"/>
                <w:szCs w:val="21"/>
                <w:u w:val="none"/>
                <w:lang w:val="en-US" w:eastAsia="zh-CN" w:bidi="ar"/>
              </w:rPr>
              <w:t>编号</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1"/>
                <w:szCs w:val="21"/>
                <w:u w:val="none"/>
                <w:lang w:val="en-US" w:eastAsia="zh-CN" w:bidi="ar"/>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3-01</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3-02</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default" w:ascii="方正仿宋_GB2312" w:hAnsi="方正仿宋_GB2312" w:eastAsia="方正仿宋_GB2312" w:cs="方正仿宋_GB2312"/>
                <w:i w:val="0"/>
                <w:iCs w:val="0"/>
                <w:color w:val="000000"/>
                <w:kern w:val="0"/>
                <w:sz w:val="21"/>
                <w:szCs w:val="21"/>
                <w:u w:val="none"/>
                <w:lang w:val="en-US" w:eastAsia="zh-CN" w:bidi="ar"/>
              </w:rPr>
              <w:t>东侧：</w:t>
            </w:r>
            <w:r>
              <w:rPr>
                <w:rFonts w:hint="eastAsia" w:ascii="方正仿宋_GB2312" w:hAnsi="方正仿宋_GB2312" w:eastAsia="方正仿宋_GB2312" w:cs="方正仿宋_GB2312"/>
                <w:i w:val="0"/>
                <w:iCs w:val="0"/>
                <w:color w:val="000000"/>
                <w:kern w:val="0"/>
                <w:sz w:val="21"/>
                <w:szCs w:val="21"/>
                <w:u w:val="none"/>
                <w:lang w:val="en-US" w:eastAsia="zh-CN" w:bidi="ar"/>
              </w:rPr>
              <w:t>经开区范围线、城镇开发边界线；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default" w:ascii="方正仿宋_GB2312" w:hAnsi="方正仿宋_GB2312" w:eastAsia="方正仿宋_GB2312" w:cs="方正仿宋_GB2312"/>
                <w:i w:val="0"/>
                <w:iCs w:val="0"/>
                <w:color w:val="000000"/>
                <w:kern w:val="0"/>
                <w:sz w:val="21"/>
                <w:szCs w:val="21"/>
                <w:u w:val="none"/>
                <w:lang w:val="en-US" w:eastAsia="zh-CN" w:bidi="ar"/>
              </w:rPr>
              <w:t>南侧：</w:t>
            </w:r>
            <w:r>
              <w:rPr>
                <w:rFonts w:hint="eastAsia" w:ascii="方正仿宋_GB2312" w:hAnsi="方正仿宋_GB2312" w:eastAsia="方正仿宋_GB2312" w:cs="方正仿宋_GB2312"/>
                <w:i w:val="0"/>
                <w:iCs w:val="0"/>
                <w:color w:val="000000"/>
                <w:kern w:val="0"/>
                <w:sz w:val="21"/>
                <w:szCs w:val="21"/>
                <w:u w:val="none"/>
                <w:lang w:val="en-US" w:eastAsia="zh-CN" w:bidi="ar"/>
              </w:rPr>
              <w:t>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default" w:ascii="方正仿宋_GB2312" w:hAnsi="方正仿宋_GB2312" w:eastAsia="方正仿宋_GB2312" w:cs="方正仿宋_GB2312"/>
                <w:i w:val="0"/>
                <w:iCs w:val="0"/>
                <w:color w:val="000000"/>
                <w:kern w:val="0"/>
                <w:sz w:val="21"/>
                <w:szCs w:val="21"/>
                <w:u w:val="none"/>
                <w:lang w:val="en-US" w:eastAsia="zh-CN" w:bidi="ar"/>
              </w:rPr>
              <w:t>西侧：城镇开发边界线</w:t>
            </w:r>
            <w:r>
              <w:rPr>
                <w:rFonts w:hint="eastAsia" w:ascii="方正仿宋_GB2312" w:hAnsi="方正仿宋_GB2312" w:eastAsia="方正仿宋_GB2312" w:cs="方正仿宋_GB2312"/>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default" w:ascii="方正仿宋_GB2312" w:hAnsi="方正仿宋_GB2312" w:eastAsia="方正仿宋_GB2312" w:cs="方正仿宋_GB2312"/>
                <w:i w:val="0"/>
                <w:iCs w:val="0"/>
                <w:color w:val="000000"/>
                <w:kern w:val="0"/>
                <w:sz w:val="21"/>
                <w:szCs w:val="21"/>
                <w:u w:val="none"/>
                <w:lang w:val="en-US" w:eastAsia="zh-CN" w:bidi="ar"/>
              </w:rPr>
              <w:t>北侧：</w:t>
            </w:r>
            <w:r>
              <w:rPr>
                <w:rFonts w:hint="eastAsia" w:ascii="方正仿宋_GB2312" w:hAnsi="方正仿宋_GB2312" w:eastAsia="方正仿宋_GB2312" w:cs="方正仿宋_GB2312"/>
                <w:i w:val="0"/>
                <w:iCs w:val="0"/>
                <w:color w:val="000000"/>
                <w:kern w:val="0"/>
                <w:sz w:val="21"/>
                <w:szCs w:val="21"/>
                <w:u w:val="none"/>
                <w:lang w:val="en-US" w:eastAsia="zh-CN" w:bidi="ar"/>
              </w:rPr>
              <w:t>机场路、机场西南防卫墙</w:t>
            </w:r>
            <w:r>
              <w:rPr>
                <w:rFonts w:hint="default" w:ascii="方正仿宋_GB2312" w:hAnsi="方正仿宋_GB2312" w:eastAsia="方正仿宋_GB2312" w:cs="方正仿宋_GB2312"/>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4"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3-03</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东侧：城东大道；</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南侧：空港一路；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西侧：经开区范围线；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3-04</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东、南侧：喀什经济开发区范围线；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3-05</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东、南、西、北侧：城镇开发边界线。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3-06</w:t>
            </w:r>
          </w:p>
        </w:tc>
        <w:tc>
          <w:tcPr>
            <w:tcW w:w="7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东侧：城镇开发边界线；</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南侧：华东路；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西侧：城镇开发边界线、喀和铁路；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both"/>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北侧：麦喀铁路（规划）。</w:t>
            </w:r>
          </w:p>
        </w:tc>
      </w:tr>
    </w:tbl>
    <w:p>
      <w:pPr>
        <w:pStyle w:val="5"/>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sz w:val="15"/>
          <w:szCs w:val="10"/>
          <w:lang w:val="en-US" w:eastAsia="zh-CN"/>
        </w:rPr>
      </w:pPr>
    </w:p>
    <w:p>
      <w:pPr>
        <w:pStyle w:val="5"/>
        <w:keepNext w:val="0"/>
        <w:keepLines w:val="0"/>
        <w:pageBreakBefore w:val="0"/>
        <w:widowControl/>
        <w:kinsoku/>
        <w:wordWrap/>
        <w:overflowPunct/>
        <w:topLinePunct w:val="0"/>
        <w:autoSpaceDE/>
        <w:autoSpaceDN/>
        <w:bidi w:val="0"/>
        <w:adjustRightInd/>
        <w:snapToGrid/>
        <w:spacing w:after="0" w:line="360" w:lineRule="auto"/>
        <w:ind w:firstLine="602" w:firstLineChars="200"/>
        <w:textAlignment w:val="auto"/>
        <w:outlineLvl w:val="1"/>
        <w:rPr>
          <w:rFonts w:hint="eastAsia"/>
          <w:lang w:val="en-US" w:eastAsia="zh-CN"/>
        </w:rPr>
      </w:pPr>
      <w:r>
        <w:rPr>
          <w:rFonts w:hint="eastAsia"/>
          <w:lang w:val="en-US" w:eastAsia="zh-CN"/>
        </w:rPr>
        <w:t>（五）4类声环境功能区划分</w:t>
      </w:r>
      <w:bookmarkEnd w:id="59"/>
      <w:bookmarkEnd w:id="60"/>
    </w:p>
    <w:p>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sz w:val="28"/>
          <w:szCs w:val="28"/>
          <w:lang w:val="en-US" w:eastAsia="zh-CN"/>
        </w:rPr>
        <w:t>4a类声环境功能区划分：</w:t>
      </w:r>
      <w:r>
        <w:rPr>
          <w:rFonts w:hint="eastAsia" w:ascii="方正仿宋_GB2312" w:hAnsi="方正仿宋_GB2312" w:eastAsia="方正仿宋_GB2312" w:cs="方正仿宋_GB2312"/>
          <w:snapToGrid w:val="0"/>
          <w:color w:val="auto"/>
          <w:kern w:val="0"/>
          <w:sz w:val="28"/>
          <w:szCs w:val="28"/>
          <w:lang w:val="en-US" w:eastAsia="zh-CN" w:bidi="ar-SA"/>
        </w:rPr>
        <w:t>将喀什市中心城区规划范围内已建成的52条城市主干路、39条城市次干路两侧一定距离内的区域划定为4a类功能区；</w:t>
      </w:r>
      <w:r>
        <w:rPr>
          <w:rFonts w:hint="eastAsia" w:ascii="方正仿宋_GB2312" w:hAnsi="方正仿宋_GB2312" w:eastAsia="方正仿宋_GB2312" w:cs="方正仿宋_GB2312"/>
          <w:snapToGrid w:val="0"/>
          <w:color w:val="000000"/>
          <w:kern w:val="0"/>
          <w:sz w:val="28"/>
          <w:szCs w:val="28"/>
          <w:lang w:val="en-US" w:eastAsia="zh-CN" w:bidi="ar-SA"/>
        </w:rPr>
        <w:t>将中心城区内</w:t>
      </w:r>
      <w:r>
        <w:rPr>
          <w:rFonts w:hint="eastAsia" w:ascii="方正仿宋_GB2312" w:hAnsi="方正仿宋_GB2312" w:eastAsia="方正仿宋_GB2312" w:cs="方正仿宋_GB2312"/>
          <w:snapToGrid w:val="0"/>
          <w:color w:val="000000"/>
          <w:kern w:val="0"/>
          <w:sz w:val="28"/>
          <w:szCs w:val="28"/>
          <w:highlight w:val="none"/>
          <w:lang w:val="en-US" w:eastAsia="zh-CN" w:bidi="ar-SA"/>
        </w:rPr>
        <w:t>吐和高速喀什收费站、喀什汽车客运站、三师客运站、天南路客运站、喀什中西亚客运站、色满路客运站等规划范围内区域划分为</w:t>
      </w:r>
      <w:r>
        <w:rPr>
          <w:rFonts w:hint="eastAsia" w:ascii="方正仿宋_GB2312" w:hAnsi="方正仿宋_GB2312" w:eastAsia="方正仿宋_GB2312" w:cs="方正仿宋_GB2312"/>
          <w:snapToGrid w:val="0"/>
          <w:color w:val="auto"/>
          <w:kern w:val="0"/>
          <w:sz w:val="28"/>
          <w:szCs w:val="28"/>
          <w:lang w:val="en-US" w:eastAsia="zh-CN" w:bidi="ar-SA"/>
        </w:rPr>
        <w:t>4a类功能区</w:t>
      </w:r>
      <w:r>
        <w:rPr>
          <w:rFonts w:hint="eastAsia" w:ascii="方正仿宋_GB2312" w:hAnsi="方正仿宋_GB2312" w:eastAsia="方正仿宋_GB2312" w:cs="方正仿宋_GB2312"/>
          <w:snapToGrid w:val="0"/>
          <w:color w:val="auto"/>
          <w:kern w:val="0"/>
          <w:sz w:val="28"/>
          <w:szCs w:val="28"/>
          <w:highlight w:val="none"/>
          <w:lang w:val="en-US" w:eastAsia="zh-CN" w:bidi="ar-SA"/>
        </w:rPr>
        <w:t>；以及将南疆铁路两侧一定距离内的区域和喀什火车站、喀什火车北站规划范围内的区域划定为4b类功能区</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w:t>
      </w:r>
      <w:r>
        <w:rPr>
          <w:rFonts w:hint="eastAsia" w:ascii="方正仿宋_GB2312" w:hAnsi="方正仿宋_GB2312" w:eastAsia="方正仿宋_GB2312" w:cs="方正仿宋_GB2312"/>
          <w:sz w:val="28"/>
          <w:szCs w:val="28"/>
          <w:lang w:val="en-US" w:eastAsia="zh-CN"/>
        </w:rPr>
        <w:t>见表5、表6。</w:t>
      </w:r>
    </w:p>
    <w:p>
      <w:pPr>
        <w:kinsoku w:val="0"/>
        <w:autoSpaceDE w:val="0"/>
        <w:autoSpaceDN w:val="0"/>
        <w:adjustRightInd w:val="0"/>
        <w:snapToGrid w:val="0"/>
        <w:spacing w:after="0" w:line="360" w:lineRule="auto"/>
        <w:ind w:firstLine="482" w:firstLineChars="200"/>
        <w:jc w:val="center"/>
        <w:textAlignment w:val="baseline"/>
        <w:rPr>
          <w:rFonts w:hint="default"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表5  4a类声环境功能区统计表（主要道路）</w:t>
      </w:r>
    </w:p>
    <w:tbl>
      <w:tblPr>
        <w:tblStyle w:val="36"/>
        <w:tblW w:w="80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2053"/>
        <w:gridCol w:w="1010"/>
        <w:gridCol w:w="700"/>
        <w:gridCol w:w="2212"/>
        <w:gridCol w:w="1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道路名称</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车道类别</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lang w:val="en-US" w:eastAsia="zh-CN" w:bidi="en-US"/>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lang w:val="en-US" w:eastAsia="zh-CN" w:bidi="en-US"/>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道路名称</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车道类别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青年南路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开源路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天山南路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尤木拉克协海尔路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明宇路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49</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亚瓦格路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健康路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50</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中亚三路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天山东路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51</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创业三路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（以及西延长线）</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民生路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52</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中亚五路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天山西路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53</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机场路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解放北路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54</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机场北路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9</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西北路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55</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华电路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多来特巴格路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56</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文化路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建设路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园丁路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克孜勒都维路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X420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中亚市场路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59</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班超路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吐曼路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60</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夏马勒巴格路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阔纳乃则尔巴格路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61</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明珠路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塔吾古孜路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62</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广东路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世纪大道北路（G315）</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63</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008乡道</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18</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人民西路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64</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奥林匹克路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19</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人民东路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65</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色满路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迎宾大道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66</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经三北路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月星路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中亚二路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世纪大道南路（G315）</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中亚四路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深喀大道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69</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创业二路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瓦普东路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70</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远方西路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时代大道</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（含瓦普路）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71</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创业一路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慕士塔格路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72</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发展一路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华凌东路</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（城东大道）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73</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发展二路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28</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华凌西路（兰干路）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74</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发展三路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29</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瓦普西路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75</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建设二路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帕米尔大道</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（G314）</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76</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中亚路西延长线</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天山南路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机场路三巷</w:t>
            </w:r>
          </w:p>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（以及西延长线）</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西域大道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X420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西环路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79</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塔西巴扎路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解放南路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80</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经十一路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帕依纳普路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81</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托克扎克路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青年北路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82</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粤新路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37</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沿河北路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83</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达恰路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38</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和谐东路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84</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帕尔其布恰路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39</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学府大道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85</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团结路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40</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欧亚大道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86</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经一路（421市道）</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41</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昆仑大道</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布恰路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42</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塔吾古孜路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88</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经四路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43</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创业一路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89</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新城北路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44</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苗圃路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90</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新城南路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45</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托万克莫尔吐木路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91</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滨河北路</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次干道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default"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46</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zh-CN"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纬十一路</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2"/>
                <w:szCs w:val="22"/>
                <w:u w:val="none"/>
                <w:lang w:val="en-US" w:eastAsia="en-US" w:bidi="en-US"/>
              </w:rPr>
            </w:pPr>
            <w:r>
              <w:rPr>
                <w:rFonts w:hint="eastAsia" w:ascii="方正仿宋_GB2312" w:hAnsi="方正仿宋_GB2312" w:eastAsia="方正仿宋_GB2312" w:cs="方正仿宋_GB2312"/>
                <w:i w:val="0"/>
                <w:iCs w:val="0"/>
                <w:color w:val="000000"/>
                <w:kern w:val="0"/>
                <w:sz w:val="22"/>
                <w:szCs w:val="22"/>
                <w:u w:val="none"/>
                <w:lang w:val="en-US" w:eastAsia="zh-CN" w:bidi="ar"/>
              </w:rPr>
              <w:t>主干道</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after="0" w:line="0" w:lineRule="atLeast"/>
              <w:jc w:val="center"/>
              <w:textAlignment w:val="center"/>
              <w:rPr>
                <w:rFonts w:hint="eastAsia" w:ascii="方正仿宋_GB2312" w:hAnsi="方正仿宋_GB2312" w:eastAsia="方正仿宋_GB2312" w:cs="方正仿宋_GB2312"/>
                <w:i w:val="0"/>
                <w:iCs w:val="0"/>
                <w:color w:val="000000"/>
                <w:sz w:val="20"/>
                <w:szCs w:val="20"/>
                <w:u w:val="none"/>
                <w:lang w:val="en-US" w:eastAsia="zh-CN" w:bidi="en-US"/>
              </w:rPr>
            </w:pPr>
          </w:p>
        </w:tc>
      </w:tr>
    </w:tbl>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方正仿宋_GB2312" w:hAnsi="方正仿宋_GB2312" w:eastAsia="方正仿宋_GB2312" w:cs="方正仿宋_GB2312"/>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方正仿宋_GB2312" w:hAnsi="方正仿宋_GB2312" w:eastAsia="方正仿宋_GB2312" w:cs="方正仿宋_GB2312"/>
          <w:b/>
          <w:bCs/>
          <w:kern w:val="2"/>
          <w:sz w:val="28"/>
          <w:szCs w:val="28"/>
          <w:lang w:val="en-US" w:eastAsia="zh-CN" w:bidi="ar-SA"/>
        </w:rPr>
      </w:pPr>
      <w:r>
        <w:rPr>
          <w:rFonts w:hint="eastAsia" w:ascii="方正仿宋_GB2312" w:hAnsi="方正仿宋_GB2312" w:eastAsia="方正仿宋_GB2312" w:cs="方正仿宋_GB2312"/>
          <w:b/>
          <w:bCs/>
          <w:kern w:val="2"/>
          <w:sz w:val="24"/>
          <w:szCs w:val="24"/>
          <w:lang w:val="en-US" w:eastAsia="zh-CN" w:bidi="ar-SA"/>
        </w:rPr>
        <w:t>表6   4a类功能区划分统计表（收费站、客运站）</w:t>
      </w:r>
    </w:p>
    <w:tbl>
      <w:tblPr>
        <w:tblStyle w:val="36"/>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3152"/>
        <w:gridCol w:w="1096"/>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54"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3152"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名称</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2853"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default"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54"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default" w:ascii="方正仿宋_GB2312" w:hAnsi="方正仿宋_GB2312" w:eastAsia="方正仿宋_GB2312" w:cs="方正仿宋_GB2312"/>
                <w:b w:val="0"/>
                <w:bCs w:val="0"/>
                <w:i w:val="0"/>
                <w:iCs w:val="0"/>
                <w:color w:val="000000"/>
                <w:kern w:val="0"/>
                <w:sz w:val="22"/>
                <w:szCs w:val="22"/>
                <w:u w:val="none"/>
                <w:lang w:val="en-US" w:eastAsia="zh-CN" w:bidi="ar"/>
              </w:rPr>
            </w:pPr>
            <w:r>
              <w:rPr>
                <w:rFonts w:hint="eastAsia" w:ascii="方正仿宋_GB2312" w:hAnsi="方正仿宋_GB2312" w:eastAsia="方正仿宋_GB2312" w:cs="方正仿宋_GB2312"/>
                <w:b w:val="0"/>
                <w:bCs w:val="0"/>
                <w:i w:val="0"/>
                <w:iCs w:val="0"/>
                <w:color w:val="000000"/>
                <w:kern w:val="0"/>
                <w:sz w:val="22"/>
                <w:szCs w:val="22"/>
                <w:u w:val="none"/>
                <w:lang w:val="en-US" w:eastAsia="zh-CN" w:bidi="ar"/>
              </w:rPr>
              <w:t>1</w:t>
            </w:r>
          </w:p>
        </w:tc>
        <w:tc>
          <w:tcPr>
            <w:tcW w:w="3152"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b w:val="0"/>
                <w:bCs w:val="0"/>
                <w:i w:val="0"/>
                <w:iCs w:val="0"/>
                <w:color w:val="000000"/>
                <w:kern w:val="0"/>
                <w:sz w:val="22"/>
                <w:szCs w:val="22"/>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吐和高速喀什收费站</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4</w:t>
            </w:r>
          </w:p>
        </w:tc>
        <w:tc>
          <w:tcPr>
            <w:tcW w:w="285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0" w:lineRule="atLeast"/>
              <w:ind w:left="0" w:leftChars="0" w:firstLine="0" w:firstLineChars="0"/>
              <w:jc w:val="center"/>
              <w:textAlignment w:val="auto"/>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天南路客运站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54"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default"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2</w:t>
            </w:r>
          </w:p>
        </w:tc>
        <w:tc>
          <w:tcPr>
            <w:tcW w:w="3152"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0" w:lineRule="atLeast"/>
              <w:ind w:left="0" w:leftChars="0" w:firstLine="0" w:firstLineChars="0"/>
              <w:jc w:val="center"/>
              <w:textAlignment w:val="auto"/>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喀什汽车客运站</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5</w:t>
            </w:r>
          </w:p>
        </w:tc>
        <w:tc>
          <w:tcPr>
            <w:tcW w:w="285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0" w:lineRule="atLeast"/>
              <w:ind w:left="0" w:leftChars="0" w:firstLine="0" w:firstLineChars="0"/>
              <w:jc w:val="center"/>
              <w:textAlignment w:val="auto"/>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喀什中西亚客运站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54"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default"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3</w:t>
            </w:r>
          </w:p>
        </w:tc>
        <w:tc>
          <w:tcPr>
            <w:tcW w:w="3152"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0" w:lineRule="atLeast"/>
              <w:ind w:left="0" w:leftChars="0" w:firstLine="0" w:firstLineChars="0"/>
              <w:jc w:val="center"/>
              <w:textAlignment w:val="auto"/>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三师客运站</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spacing w:after="0" w:line="0" w:lineRule="atLeast"/>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6</w:t>
            </w:r>
          </w:p>
        </w:tc>
        <w:tc>
          <w:tcPr>
            <w:tcW w:w="285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0" w:lineRule="atLeast"/>
              <w:ind w:left="0" w:leftChars="0" w:firstLine="0" w:firstLineChars="0"/>
              <w:jc w:val="center"/>
              <w:textAlignment w:val="auto"/>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snapToGrid w:val="0"/>
                <w:color w:val="000000"/>
                <w:kern w:val="0"/>
                <w:sz w:val="24"/>
                <w:szCs w:val="24"/>
                <w:lang w:val="en-US" w:eastAsia="zh-CN" w:bidi="ar-SA"/>
              </w:rPr>
              <w:t>色满路客运站</w:t>
            </w:r>
          </w:p>
        </w:tc>
      </w:tr>
    </w:tbl>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将交通干线边界线外一定距离内的区域划分为4a类声环境功能区，其距离确定的方法为相邻区域为1类声环境功能区的距离为55m；</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相邻区域为2类声环境功能区的距离为40m；相邻区域为3类声环境功能区的距离为25m。还需要满足的其他要求：</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1）划分4a类声环境功能区时，当临街建筑相对于路面高于三层楼房以上（含三层）时，将临街建筑面向交通干线至交通干线边界线的区域定为4a类声环境功能区。</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2）对于高架桥或路面高于周边地面的道路，其旁边的临街建筑 只有当高于高架桥路面或道路路面三层楼房以上（含三层）时，才将该临街建筑面向高架桥或道路一侧至高架桥或道路边界线的区域定为4a类声环境功能区。</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3）对于临街建筑之后且位于拟划定4a类声环境功能区域范围内的建筑，若其高于前排建筑并受交通噪声直达声影响，则高出部分的楼层面向道路一侧执行4a类声环境功能区的标准。</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4）对于临街建筑之后且位于拟划定4a类声环境功能区域范围内因楼房错落设置原因使其部分楼体探出临街建筑遮挡，则对于探出部分的楼体应按临街建筑对待，按照1）和2）的方法确定4a类声环境功能区域。</w:t>
      </w:r>
    </w:p>
    <w:p>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4b类功能区划分：将南疆铁路两侧一定范围内区域和喀什火车站规划范围内区域划定为4b类功能区，见表7、8。</w:t>
      </w:r>
    </w:p>
    <w:p>
      <w:pPr>
        <w:kinsoku w:val="0"/>
        <w:autoSpaceDE w:val="0"/>
        <w:autoSpaceDN w:val="0"/>
        <w:adjustRightInd w:val="0"/>
        <w:snapToGrid w:val="0"/>
        <w:spacing w:after="0" w:line="360" w:lineRule="auto"/>
        <w:jc w:val="center"/>
        <w:textAlignment w:val="baseline"/>
        <w:rPr>
          <w:rFonts w:hint="eastAsia" w:ascii="方正仿宋_GB2312" w:hAnsi="方正仿宋_GB2312" w:eastAsia="方正仿宋_GB2312" w:cs="方正仿宋_GB2312"/>
          <w:b/>
          <w:bCs/>
          <w:kern w:val="2"/>
          <w:sz w:val="24"/>
          <w:szCs w:val="24"/>
          <w:lang w:val="en-US" w:eastAsia="zh-CN" w:bidi="ar-SA"/>
        </w:rPr>
      </w:pPr>
      <w:r>
        <w:rPr>
          <w:rFonts w:hint="eastAsia" w:ascii="方正仿宋_GB2312" w:hAnsi="方正仿宋_GB2312" w:eastAsia="方正仿宋_GB2312" w:cs="方正仿宋_GB2312"/>
          <w:b/>
          <w:bCs/>
          <w:kern w:val="2"/>
          <w:sz w:val="24"/>
          <w:szCs w:val="24"/>
          <w:lang w:val="en-US" w:eastAsia="zh-CN" w:bidi="ar-SA"/>
        </w:rPr>
        <w:t>表7   4b类声环境功能区统计表（铁路）</w:t>
      </w:r>
    </w:p>
    <w:tbl>
      <w:tblPr>
        <w:tblStyle w:val="36"/>
        <w:tblW w:w="7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751"/>
        <w:gridCol w:w="1765"/>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81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b/>
                <w:bCs/>
                <w:snapToGrid w:val="0"/>
                <w:color w:val="000000"/>
                <w:kern w:val="0"/>
                <w:sz w:val="22"/>
                <w:szCs w:val="22"/>
                <w:lang w:val="en-US" w:eastAsia="zh-CN" w:bidi="ar-SA"/>
              </w:rPr>
              <w:t>序号</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b/>
                <w:bCs/>
                <w:snapToGrid w:val="0"/>
                <w:color w:val="000000"/>
                <w:kern w:val="0"/>
                <w:sz w:val="22"/>
                <w:szCs w:val="22"/>
                <w:lang w:val="en-US" w:eastAsia="zh-CN" w:bidi="ar-SA"/>
              </w:rPr>
              <w:t>铁路名称</w:t>
            </w:r>
          </w:p>
        </w:tc>
        <w:tc>
          <w:tcPr>
            <w:tcW w:w="176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b/>
                <w:bCs/>
                <w:snapToGrid w:val="0"/>
                <w:color w:val="000000"/>
                <w:kern w:val="0"/>
                <w:sz w:val="22"/>
                <w:szCs w:val="22"/>
                <w:lang w:val="en-US" w:eastAsia="zh-CN" w:bidi="ar-SA"/>
              </w:rPr>
              <w:t>起点～终点</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b/>
                <w:bCs/>
                <w:snapToGrid w:val="0"/>
                <w:color w:val="000000"/>
                <w:kern w:val="0"/>
                <w:sz w:val="22"/>
                <w:szCs w:val="22"/>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81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南疆铁路</w:t>
            </w:r>
          </w:p>
        </w:tc>
        <w:tc>
          <w:tcPr>
            <w:tcW w:w="176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市域范围内</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auto"/>
              <w:rPr>
                <w:rFonts w:hint="eastAsia" w:ascii="方正仿宋_GB2312" w:hAnsi="方正仿宋_GB2312" w:eastAsia="方正仿宋_GB2312" w:cs="方正仿宋_GB2312"/>
                <w:b/>
                <w:bCs/>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包含城市区域和乡村区域</w:t>
            </w:r>
          </w:p>
        </w:tc>
      </w:tr>
    </w:tbl>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方正仿宋_GB2312" w:hAnsi="方正仿宋_GB2312" w:eastAsia="方正仿宋_GB2312" w:cs="方正仿宋_GB2312"/>
          <w:b/>
          <w:bCs/>
          <w:kern w:val="2"/>
          <w:sz w:val="24"/>
          <w:szCs w:val="24"/>
          <w:lang w:val="en-US" w:eastAsia="zh-CN" w:bidi="ar-SA"/>
        </w:rPr>
      </w:pPr>
      <w:r>
        <w:rPr>
          <w:rFonts w:hint="eastAsia" w:ascii="方正仿宋_GB2312" w:hAnsi="方正仿宋_GB2312" w:eastAsia="方正仿宋_GB2312" w:cs="方正仿宋_GB2312"/>
          <w:b/>
          <w:bCs/>
          <w:kern w:val="2"/>
          <w:sz w:val="24"/>
          <w:szCs w:val="24"/>
          <w:lang w:val="en-US" w:eastAsia="zh-CN" w:bidi="ar-SA"/>
        </w:rPr>
        <w:t>表8   4b类声环境功能区统计表（火车站）</w:t>
      </w:r>
    </w:p>
    <w:tbl>
      <w:tblPr>
        <w:tblStyle w:val="36"/>
        <w:tblW w:w="7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73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823" w:type="dxa"/>
            <w:noWrap w:val="0"/>
            <w:vAlign w:val="center"/>
          </w:tcPr>
          <w:p>
            <w:pPr>
              <w:keepNext/>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仿宋_GB2312" w:hAnsi="方正仿宋_GB2312" w:eastAsia="方正仿宋_GB2312" w:cs="方正仿宋_GB2312"/>
                <w:b/>
                <w:bCs/>
                <w:kern w:val="2"/>
                <w:sz w:val="22"/>
                <w:szCs w:val="22"/>
                <w:lang w:val="en-US" w:eastAsia="zh-CN" w:bidi="ar-SA"/>
              </w:rPr>
            </w:pPr>
            <w:r>
              <w:rPr>
                <w:rFonts w:hint="eastAsia" w:ascii="方正仿宋_GB2312" w:hAnsi="方正仿宋_GB2312" w:eastAsia="方正仿宋_GB2312" w:cs="方正仿宋_GB2312"/>
                <w:b/>
                <w:bCs/>
                <w:kern w:val="2"/>
                <w:sz w:val="22"/>
                <w:szCs w:val="22"/>
                <w:lang w:val="en-US" w:eastAsia="zh-CN" w:bidi="ar-SA"/>
              </w:rPr>
              <w:t>序号</w:t>
            </w:r>
          </w:p>
        </w:tc>
        <w:tc>
          <w:tcPr>
            <w:tcW w:w="1735" w:type="dxa"/>
            <w:noWrap w:val="0"/>
            <w:vAlign w:val="center"/>
          </w:tcPr>
          <w:p>
            <w:pPr>
              <w:keepNext/>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仿宋_GB2312" w:hAnsi="方正仿宋_GB2312" w:eastAsia="方正仿宋_GB2312" w:cs="方正仿宋_GB2312"/>
                <w:b/>
                <w:bCs/>
                <w:kern w:val="2"/>
                <w:sz w:val="22"/>
                <w:szCs w:val="22"/>
                <w:lang w:val="en-US" w:eastAsia="zh-CN" w:bidi="ar-SA"/>
              </w:rPr>
            </w:pPr>
            <w:r>
              <w:rPr>
                <w:rFonts w:hint="eastAsia" w:ascii="方正仿宋_GB2312" w:hAnsi="方正仿宋_GB2312" w:eastAsia="方正仿宋_GB2312" w:cs="方正仿宋_GB2312"/>
                <w:b/>
                <w:bCs/>
                <w:kern w:val="2"/>
                <w:sz w:val="22"/>
                <w:szCs w:val="22"/>
                <w:lang w:val="en-US" w:eastAsia="zh-CN" w:bidi="ar-SA"/>
              </w:rPr>
              <w:t>火车站名称</w:t>
            </w:r>
          </w:p>
        </w:tc>
        <w:tc>
          <w:tcPr>
            <w:tcW w:w="4825" w:type="dxa"/>
            <w:noWrap w:val="0"/>
            <w:vAlign w:val="center"/>
          </w:tcPr>
          <w:p>
            <w:pPr>
              <w:keepNext/>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仿宋_GB2312" w:hAnsi="方正仿宋_GB2312" w:eastAsia="方正仿宋_GB2312" w:cs="方正仿宋_GB2312"/>
                <w:b/>
                <w:bCs/>
                <w:kern w:val="2"/>
                <w:sz w:val="22"/>
                <w:szCs w:val="22"/>
                <w:lang w:val="en-US" w:eastAsia="zh-CN" w:bidi="ar-SA"/>
              </w:rPr>
            </w:pPr>
            <w:r>
              <w:rPr>
                <w:rFonts w:hint="eastAsia" w:ascii="方正仿宋_GB2312" w:hAnsi="方正仿宋_GB2312" w:eastAsia="方正仿宋_GB2312" w:cs="方正仿宋_GB2312"/>
                <w:b/>
                <w:bCs/>
                <w:kern w:val="2"/>
                <w:sz w:val="22"/>
                <w:szCs w:val="22"/>
                <w:lang w:val="en-US" w:eastAsia="zh-CN" w:bidi="ar-SA"/>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eastAsia"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1</w:t>
            </w:r>
          </w:p>
        </w:tc>
        <w:tc>
          <w:tcPr>
            <w:tcW w:w="173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left="0" w:leftChars="0" w:firstLine="0" w:firstLineChars="0"/>
              <w:jc w:val="center"/>
              <w:textAlignment w:val="auto"/>
              <w:rPr>
                <w:rFonts w:hint="eastAsia"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4"/>
                <w:szCs w:val="24"/>
                <w:lang w:val="en-US" w:eastAsia="zh-CN" w:bidi="ar-SA"/>
              </w:rPr>
              <w:t>喀什站</w:t>
            </w:r>
          </w:p>
        </w:tc>
        <w:tc>
          <w:tcPr>
            <w:tcW w:w="482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left="0" w:leftChars="0" w:firstLine="0" w:firstLineChars="0"/>
              <w:jc w:val="center"/>
              <w:textAlignment w:val="auto"/>
              <w:rPr>
                <w:rFonts w:hint="eastAsia"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4"/>
                <w:szCs w:val="24"/>
                <w:lang w:val="en-US" w:eastAsia="zh-CN" w:bidi="ar-SA"/>
              </w:rPr>
              <w:t>世纪大道北路－城镇开发边界线－南疆铁路（喀什站规划范围）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rPr>
                <w:rFonts w:hint="default"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2"/>
                <w:szCs w:val="22"/>
                <w:lang w:val="en-US" w:eastAsia="zh-CN" w:bidi="ar-SA"/>
              </w:rPr>
              <w:t>2</w:t>
            </w:r>
          </w:p>
        </w:tc>
        <w:tc>
          <w:tcPr>
            <w:tcW w:w="173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left="0" w:leftChars="0" w:firstLine="0" w:firstLineChars="0"/>
              <w:jc w:val="center"/>
              <w:textAlignment w:val="auto"/>
              <w:rPr>
                <w:rFonts w:hint="eastAsia"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4"/>
                <w:szCs w:val="24"/>
                <w:lang w:val="en-US" w:eastAsia="zh-CN" w:bidi="ar-SA"/>
              </w:rPr>
              <w:t>喀什北站</w:t>
            </w:r>
          </w:p>
        </w:tc>
        <w:tc>
          <w:tcPr>
            <w:tcW w:w="4825"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tLeast"/>
              <w:ind w:left="0" w:leftChars="0" w:firstLine="0" w:firstLineChars="0"/>
              <w:jc w:val="center"/>
              <w:textAlignment w:val="auto"/>
              <w:rPr>
                <w:rFonts w:hint="eastAsia" w:ascii="方正仿宋_GB2312" w:hAnsi="方正仿宋_GB2312" w:eastAsia="方正仿宋_GB2312" w:cs="方正仿宋_GB2312"/>
                <w:snapToGrid w:val="0"/>
                <w:color w:val="000000"/>
                <w:kern w:val="0"/>
                <w:sz w:val="22"/>
                <w:szCs w:val="22"/>
                <w:lang w:val="en-US" w:eastAsia="zh-CN" w:bidi="ar-SA"/>
              </w:rPr>
            </w:pPr>
            <w:r>
              <w:rPr>
                <w:rFonts w:hint="eastAsia" w:ascii="方正仿宋_GB2312" w:hAnsi="方正仿宋_GB2312" w:eastAsia="方正仿宋_GB2312" w:cs="方正仿宋_GB2312"/>
                <w:snapToGrid w:val="0"/>
                <w:color w:val="000000"/>
                <w:kern w:val="0"/>
                <w:sz w:val="24"/>
                <w:szCs w:val="24"/>
                <w:lang w:val="en-US" w:eastAsia="zh-CN" w:bidi="ar-SA"/>
              </w:rPr>
              <w:t>城镇开发边界线内（喀什北站规划范围）</w:t>
            </w:r>
          </w:p>
        </w:tc>
      </w:tr>
    </w:tbl>
    <w:p>
      <w:pPr>
        <w:kinsoku w:val="0"/>
        <w:autoSpaceDE w:val="0"/>
        <w:autoSpaceDN w:val="0"/>
        <w:adjustRightInd w:val="0"/>
        <w:snapToGrid w:val="0"/>
        <w:spacing w:after="0" w:line="240" w:lineRule="auto"/>
        <w:ind w:firstLine="562" w:firstLineChars="200"/>
        <w:jc w:val="center"/>
        <w:textAlignment w:val="baseline"/>
        <w:rPr>
          <w:rFonts w:hint="eastAsia" w:ascii="方正仿宋_GB2312" w:hAnsi="方正仿宋_GB2312" w:eastAsia="方正仿宋_GB2312" w:cs="方正仿宋_GB2312"/>
          <w:b/>
          <w:bCs/>
          <w:snapToGrid w:val="0"/>
          <w:color w:val="000000"/>
          <w:kern w:val="0"/>
          <w:sz w:val="28"/>
          <w:szCs w:val="28"/>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b类声环境功能区划分：铁路干线边界外一定距离以内的区域划分为4b类声环境功能区。其距离确定的原则和方法同4a类声环境功能区一致。若4a类声功能区与4b类声功能区相邻或交叉，则按照4b类声环境功能区执行。</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napToGrid w:val="0"/>
          <w:color w:val="000000"/>
          <w:kern w:val="0"/>
          <w:sz w:val="28"/>
          <w:szCs w:val="28"/>
          <w:lang w:val="en-US" w:eastAsia="zh-CN" w:bidi="ar-SA"/>
        </w:rPr>
      </w:pPr>
      <w:r>
        <w:rPr>
          <w:rFonts w:hint="eastAsia" w:ascii="方正仿宋_GB2312" w:hAnsi="方正仿宋_GB2312" w:eastAsia="方正仿宋_GB2312" w:cs="方正仿宋_GB2312"/>
          <w:snapToGrid w:val="0"/>
          <w:color w:val="000000"/>
          <w:kern w:val="0"/>
          <w:sz w:val="28"/>
          <w:szCs w:val="28"/>
          <w:lang w:val="en-US" w:eastAsia="zh-CN" w:bidi="ar-SA"/>
        </w:rPr>
        <w:t>其它规定：划分4类声环境功能区时，不同的道路和铁路、不同的路段、同路段的两侧及道路的同侧其距离可以不统一。交通干线划分4类声环境功能区边界的确定方法：a.地面段公路和城市道路以最外侧非机动车道路或非混行道路外延为边界；b.高路基公路和城市道路以最外侧的边沟或路基边缘为边界，没有辅路的高架公路和城市道路以高架地段面垂直投影的最外侧为边界；c.高速公路以护网处为边界，没有护网的按一般公路和城市道路处理；d.城市轨道交通、铁路（地面段）边界指轨道交通用地范围，铁路以铁路边界（即距铁路外侧轨道中心线30m处）为边界。</w:t>
      </w:r>
    </w:p>
    <w:p>
      <w:pPr>
        <w:pStyle w:val="5"/>
        <w:keepNext w:val="0"/>
        <w:keepLines w:val="0"/>
        <w:pageBreakBefore w:val="0"/>
        <w:widowControl/>
        <w:kinsoku/>
        <w:wordWrap/>
        <w:overflowPunct/>
        <w:topLinePunct w:val="0"/>
        <w:autoSpaceDE/>
        <w:autoSpaceDN/>
        <w:bidi w:val="0"/>
        <w:adjustRightInd/>
        <w:snapToGrid/>
        <w:spacing w:after="0" w:line="360" w:lineRule="auto"/>
        <w:ind w:firstLine="602" w:firstLineChars="200"/>
        <w:textAlignment w:val="auto"/>
        <w:outlineLvl w:val="1"/>
        <w:rPr>
          <w:rFonts w:hint="eastAsia"/>
          <w:lang w:val="en-US" w:eastAsia="zh-CN"/>
        </w:rPr>
      </w:pPr>
      <w:r>
        <w:rPr>
          <w:rFonts w:hint="eastAsia"/>
          <w:lang w:val="en-US" w:eastAsia="zh-CN"/>
        </w:rPr>
        <w:t>（六）乡村声环境功能区划分</w:t>
      </w:r>
    </w:p>
    <w:p>
      <w:pPr>
        <w:keepNext w:val="0"/>
        <w:keepLines w:val="0"/>
        <w:pageBreakBefore w:val="0"/>
        <w:widowControl w:val="0"/>
        <w:kinsoku w:val="0"/>
        <w:wordWrap/>
        <w:overflowPunct/>
        <w:topLinePunct w:val="0"/>
        <w:autoSpaceDE w:val="0"/>
        <w:autoSpaceDN w:val="0"/>
        <w:bidi w:val="0"/>
        <w:adjustRightInd w:val="0"/>
        <w:snapToGrid w:val="0"/>
        <w:spacing w:after="0" w:line="360" w:lineRule="auto"/>
        <w:ind w:left="0" w:leftChars="0" w:firstLine="560" w:firstLineChars="200"/>
        <w:jc w:val="both"/>
        <w:textAlignment w:val="baseline"/>
        <w:rPr>
          <w:rFonts w:hint="eastAsia" w:ascii="方正仿宋_GB2312" w:hAnsi="方正仿宋_GB2312" w:eastAsia="方正仿宋_GB2312" w:cs="方正仿宋_GB2312"/>
          <w:snapToGrid w:val="0"/>
          <w:color w:val="auto"/>
          <w:kern w:val="0"/>
          <w:sz w:val="28"/>
          <w:szCs w:val="28"/>
          <w:lang w:val="en-US" w:eastAsia="zh-CN" w:bidi="ar-SA"/>
        </w:rPr>
      </w:pPr>
      <w:r>
        <w:rPr>
          <w:rFonts w:hint="eastAsia" w:ascii="方正仿宋_GB2312" w:hAnsi="方正仿宋_GB2312" w:eastAsia="方正仿宋_GB2312" w:cs="方正仿宋_GB2312"/>
          <w:snapToGrid w:val="0"/>
          <w:color w:val="auto"/>
          <w:kern w:val="0"/>
          <w:sz w:val="28"/>
          <w:szCs w:val="28"/>
          <w:lang w:val="en-US" w:eastAsia="zh-CN" w:bidi="ar-SA"/>
        </w:rPr>
        <w:t>本次区划不在乡村区域进行声环境功能区划分，明确中心城区城镇开发边界外的区域为乡村区域，并确定乡村区域适用的声环境质量要求：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jc w:val="both"/>
        <w:textAlignment w:val="auto"/>
        <w:outlineLvl w:val="3"/>
        <w:rPr>
          <w:rFonts w:hint="eastAsia"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1.位于乡村的康复疗养区执行0类声环境功能区要求。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560" w:firstLineChars="200"/>
        <w:jc w:val="both"/>
        <w:textAlignment w:val="auto"/>
        <w:outlineLvl w:val="3"/>
        <w:rPr>
          <w:rFonts w:hint="eastAsia"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2.村庄原则上执行1类声环境功能区要求，工业活动较多的村庄以及有交通干线经过的村庄（指执行4类声环境功能区要求以外的地区）可局部或全部执行2类声环境功能区要求。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eastAsia"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3.集镇执行2类声环境功能区要求。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eastAsia" w:ascii="方正仿宋_GB2312" w:hAnsi="方正仿宋_GB2312" w:eastAsia="方正仿宋_GB2312" w:cs="方正仿宋_GB2312"/>
          <w:color w:val="auto"/>
          <w:sz w:val="28"/>
          <w:szCs w:val="28"/>
          <w:lang w:val="en-US" w:eastAsia="zh-CN"/>
        </w:rPr>
      </w:pPr>
      <w:r>
        <w:rPr>
          <w:rFonts w:hint="eastAsia" w:ascii="方正仿宋_GB2312" w:hAnsi="方正仿宋_GB2312" w:eastAsia="方正仿宋_GB2312" w:cs="方正仿宋_GB2312"/>
          <w:color w:val="auto"/>
          <w:sz w:val="28"/>
          <w:szCs w:val="28"/>
          <w:lang w:val="en-US" w:eastAsia="zh-CN"/>
        </w:rPr>
        <w:t>4.独立于村庄、集镇之外的工业、仓储集中区执行3类声环境功能区要求。</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napToGrid w:val="0"/>
          <w:color w:val="000000"/>
          <w:kern w:val="0"/>
          <w:sz w:val="28"/>
          <w:szCs w:val="28"/>
          <w:lang w:val="en-US" w:eastAsia="zh-CN" w:bidi="ar-SA"/>
        </w:rPr>
      </w:pPr>
      <w:r>
        <w:rPr>
          <w:rFonts w:hint="eastAsia" w:ascii="方正仿宋_GB2312" w:hAnsi="方正仿宋_GB2312" w:eastAsia="方正仿宋_GB2312" w:cs="方正仿宋_GB2312"/>
          <w:color w:val="auto"/>
          <w:sz w:val="28"/>
          <w:szCs w:val="28"/>
          <w:lang w:val="en-US" w:eastAsia="zh-CN"/>
        </w:rPr>
        <w:t>5.位于交通干线两侧一定距离内的噪声敏感建筑物执行4类声环境功能区要求。</w:t>
      </w:r>
    </w:p>
    <w:p>
      <w:pPr>
        <w:pStyle w:val="4"/>
        <w:keepNext w:val="0"/>
        <w:keepLines w:val="0"/>
        <w:pageBreakBefore w:val="0"/>
        <w:widowControl/>
        <w:kinsoku/>
        <w:wordWrap/>
        <w:overflowPunct/>
        <w:topLinePunct w:val="0"/>
        <w:autoSpaceDE/>
        <w:autoSpaceDN/>
        <w:bidi w:val="0"/>
        <w:adjustRightInd/>
        <w:snapToGrid/>
        <w:spacing w:before="0" w:after="313" w:afterLines="100" w:line="700" w:lineRule="exact"/>
        <w:ind w:firstLine="640" w:firstLineChars="200"/>
        <w:textAlignment w:val="auto"/>
        <w:outlineLvl w:val="0"/>
        <w:rPr>
          <w:rFonts w:hint="eastAsia"/>
          <w:lang w:val="en-US" w:eastAsia="zh-CN"/>
        </w:rPr>
      </w:pPr>
      <w:r>
        <w:rPr>
          <w:rFonts w:hint="eastAsia"/>
          <w:lang w:val="en-US" w:eastAsia="zh-CN"/>
        </w:rPr>
        <w:t>六、附则</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en-US"/>
        </w:rPr>
      </w:pPr>
      <w:r>
        <w:rPr>
          <w:rFonts w:hint="eastAsia" w:ascii="方正仿宋_GB2312" w:hAnsi="方正仿宋_GB2312" w:eastAsia="方正仿宋_GB2312" w:cs="方正仿宋_GB2312"/>
          <w:sz w:val="28"/>
          <w:szCs w:val="28"/>
          <w:lang w:val="en-US" w:eastAsia="zh-CN"/>
        </w:rPr>
        <w:t>1、</w:t>
      </w:r>
      <w:r>
        <w:rPr>
          <w:rFonts w:hint="eastAsia" w:ascii="方正仿宋_GB2312" w:hAnsi="方正仿宋_GB2312" w:eastAsia="方正仿宋_GB2312" w:cs="方正仿宋_GB2312"/>
          <w:sz w:val="28"/>
          <w:szCs w:val="28"/>
          <w:lang w:val="en-US" w:eastAsia="en-US"/>
        </w:rPr>
        <w:t>“昼间”和“夜间”的时间划分</w:t>
      </w:r>
      <w:r>
        <w:rPr>
          <w:rFonts w:hint="eastAsia" w:ascii="方正仿宋_GB2312" w:hAnsi="方正仿宋_GB2312" w:eastAsia="方正仿宋_GB2312" w:cs="方正仿宋_GB2312"/>
          <w:sz w:val="28"/>
          <w:szCs w:val="28"/>
          <w:lang w:val="en-US" w:eastAsia="zh-CN"/>
        </w:rPr>
        <w:t>，将按照新疆维吾尔自治区作息标准实施，即</w:t>
      </w:r>
      <w:r>
        <w:rPr>
          <w:rFonts w:hint="eastAsia" w:ascii="方正仿宋_GB2312" w:hAnsi="方正仿宋_GB2312" w:eastAsia="方正仿宋_GB2312" w:cs="方正仿宋_GB2312"/>
          <w:sz w:val="28"/>
          <w:szCs w:val="28"/>
          <w:lang w:val="en-US" w:eastAsia="en-US"/>
        </w:rPr>
        <w:t>：昼间</w:t>
      </w:r>
      <w:r>
        <w:rPr>
          <w:rFonts w:hint="eastAsia" w:ascii="方正仿宋_GB2312" w:hAnsi="方正仿宋_GB2312" w:eastAsia="方正仿宋_GB2312" w:cs="方正仿宋_GB2312"/>
          <w:sz w:val="28"/>
          <w:szCs w:val="28"/>
          <w:lang w:val="en-US" w:eastAsia="zh-CN"/>
        </w:rPr>
        <w:t>8</w:t>
      </w:r>
      <w:r>
        <w:rPr>
          <w:rFonts w:hint="eastAsia" w:ascii="方正仿宋_GB2312" w:hAnsi="方正仿宋_GB2312" w:eastAsia="方正仿宋_GB2312" w:cs="方正仿宋_GB2312"/>
          <w:sz w:val="28"/>
          <w:szCs w:val="28"/>
          <w:lang w:val="en-US" w:eastAsia="en-US"/>
        </w:rPr>
        <w:t>:00~2</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lang w:val="en-US" w:eastAsia="en-US"/>
        </w:rPr>
        <w:t>:00</w:t>
      </w:r>
      <w:r>
        <w:rPr>
          <w:rFonts w:hint="eastAsia" w:ascii="方正仿宋_GB2312" w:hAnsi="方正仿宋_GB2312" w:eastAsia="方正仿宋_GB2312" w:cs="方正仿宋_GB2312"/>
          <w:sz w:val="28"/>
          <w:szCs w:val="28"/>
          <w:lang w:val="en-US" w:eastAsia="zh-CN"/>
        </w:rPr>
        <w:t>；</w:t>
      </w:r>
      <w:r>
        <w:rPr>
          <w:rFonts w:hint="eastAsia" w:ascii="方正仿宋_GB2312" w:hAnsi="方正仿宋_GB2312" w:eastAsia="方正仿宋_GB2312" w:cs="方正仿宋_GB2312"/>
          <w:sz w:val="28"/>
          <w:szCs w:val="28"/>
          <w:lang w:val="en-US" w:eastAsia="en-US"/>
        </w:rPr>
        <w:t>夜间</w:t>
      </w:r>
      <w:r>
        <w:rPr>
          <w:rFonts w:hint="eastAsia" w:ascii="方正仿宋_GB2312" w:hAnsi="方正仿宋_GB2312" w:eastAsia="方正仿宋_GB2312" w:cs="方正仿宋_GB2312"/>
          <w:sz w:val="28"/>
          <w:szCs w:val="28"/>
          <w:lang w:val="en-US" w:eastAsia="zh-CN"/>
        </w:rPr>
        <w:t>0</w:t>
      </w:r>
      <w:r>
        <w:rPr>
          <w:rFonts w:hint="eastAsia" w:ascii="方正仿宋_GB2312" w:hAnsi="方正仿宋_GB2312" w:eastAsia="方正仿宋_GB2312" w:cs="方正仿宋_GB2312"/>
          <w:sz w:val="28"/>
          <w:szCs w:val="28"/>
          <w:lang w:val="en-US" w:eastAsia="en-US"/>
        </w:rPr>
        <w:t>:00~</w:t>
      </w:r>
      <w:r>
        <w:rPr>
          <w:rFonts w:hint="eastAsia" w:ascii="方正仿宋_GB2312" w:hAnsi="方正仿宋_GB2312" w:eastAsia="方正仿宋_GB2312" w:cs="方正仿宋_GB2312"/>
          <w:sz w:val="28"/>
          <w:szCs w:val="28"/>
          <w:lang w:val="en-US" w:eastAsia="zh-CN"/>
        </w:rPr>
        <w:t>8</w:t>
      </w:r>
      <w:r>
        <w:rPr>
          <w:rFonts w:hint="eastAsia" w:ascii="方正仿宋_GB2312" w:hAnsi="方正仿宋_GB2312" w:eastAsia="方正仿宋_GB2312" w:cs="方正仿宋_GB2312"/>
          <w:sz w:val="28"/>
          <w:szCs w:val="28"/>
          <w:lang w:val="en-US" w:eastAsia="en-US"/>
        </w:rPr>
        <w:t>:00。</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61" w:name="_Toc20203"/>
      <w:bookmarkStart w:id="62" w:name="_Toc23458"/>
      <w:bookmarkStart w:id="63" w:name="_Toc2725"/>
      <w:bookmarkStart w:id="64" w:name="_Toc2751"/>
      <w:bookmarkStart w:id="65" w:name="_Toc10824"/>
      <w:bookmarkStart w:id="66" w:name="_Toc27120"/>
      <w:bookmarkStart w:id="67" w:name="_Toc29733"/>
      <w:bookmarkStart w:id="68" w:name="_Toc17604"/>
      <w:bookmarkStart w:id="69" w:name="_Toc22949"/>
      <w:bookmarkStart w:id="70" w:name="_Toc12756"/>
      <w:bookmarkStart w:id="71" w:name="_Toc11682"/>
      <w:r>
        <w:rPr>
          <w:rFonts w:hint="eastAsia" w:ascii="方正仿宋_GB2312" w:hAnsi="方正仿宋_GB2312" w:eastAsia="方正仿宋_GB2312" w:cs="方正仿宋_GB2312"/>
          <w:sz w:val="28"/>
          <w:szCs w:val="28"/>
          <w:lang w:val="en-US" w:eastAsia="zh-CN"/>
        </w:rPr>
        <w:t>2、喀什市</w:t>
      </w:r>
      <w:r>
        <w:rPr>
          <w:rFonts w:hint="eastAsia" w:ascii="方正仿宋_GB2312" w:hAnsi="方正仿宋_GB2312" w:eastAsia="方正仿宋_GB2312" w:cs="方正仿宋_GB2312"/>
          <w:sz w:val="28"/>
          <w:szCs w:val="28"/>
          <w:lang w:val="en-US" w:eastAsia="en-US"/>
        </w:rPr>
        <w:t>声环境功能区由</w:t>
      </w:r>
      <w:r>
        <w:rPr>
          <w:rFonts w:hint="eastAsia" w:ascii="方正仿宋_GB2312" w:hAnsi="方正仿宋_GB2312" w:eastAsia="方正仿宋_GB2312" w:cs="方正仿宋_GB2312"/>
          <w:sz w:val="28"/>
          <w:szCs w:val="28"/>
          <w:lang w:val="en-US" w:eastAsia="zh-CN"/>
        </w:rPr>
        <w:t>喀什市生态环境主管部门</w:t>
      </w:r>
      <w:r>
        <w:rPr>
          <w:rFonts w:hint="eastAsia" w:ascii="方正仿宋_GB2312" w:hAnsi="方正仿宋_GB2312" w:eastAsia="方正仿宋_GB2312" w:cs="方正仿宋_GB2312"/>
          <w:sz w:val="28"/>
          <w:szCs w:val="28"/>
          <w:lang w:val="en-US" w:eastAsia="en-US"/>
        </w:rPr>
        <w:t>负责监督与管</w:t>
      </w:r>
      <w:r>
        <w:rPr>
          <w:rFonts w:hint="eastAsia" w:ascii="方正仿宋_GB2312" w:hAnsi="方正仿宋_GB2312" w:eastAsia="方正仿宋_GB2312" w:cs="方正仿宋_GB2312"/>
          <w:sz w:val="28"/>
          <w:szCs w:val="28"/>
          <w:lang w:val="en-US" w:eastAsia="zh-CN"/>
        </w:rPr>
        <w:t>理。</w:t>
      </w:r>
    </w:p>
    <w:bookmarkEnd w:id="61"/>
    <w:bookmarkEnd w:id="62"/>
    <w:bookmarkEnd w:id="63"/>
    <w:bookmarkEnd w:id="64"/>
    <w:bookmarkEnd w:id="65"/>
    <w:bookmarkEnd w:id="66"/>
    <w:bookmarkEnd w:id="67"/>
    <w:bookmarkEnd w:id="68"/>
    <w:bookmarkEnd w:id="69"/>
    <w:bookmarkEnd w:id="70"/>
    <w:bookmarkEnd w:id="71"/>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z w:val="28"/>
          <w:szCs w:val="28"/>
          <w:lang w:val="en-US" w:eastAsia="zh-CN"/>
        </w:rPr>
        <w:t>3、</w:t>
      </w:r>
      <w:r>
        <w:rPr>
          <w:rFonts w:hint="eastAsia" w:ascii="方正仿宋_GB2312" w:hAnsi="方正仿宋_GB2312" w:eastAsia="方正仿宋_GB2312" w:cs="方正仿宋_GB2312"/>
          <w:snapToGrid w:val="0"/>
          <w:color w:val="000000"/>
          <w:kern w:val="0"/>
          <w:sz w:val="28"/>
          <w:szCs w:val="28"/>
          <w:lang w:val="en-US" w:eastAsia="en-US" w:bidi="ar-SA"/>
        </w:rPr>
        <w:t>本区划</w:t>
      </w:r>
      <w:r>
        <w:rPr>
          <w:rFonts w:hint="eastAsia" w:ascii="方正仿宋_GB2312" w:hAnsi="方正仿宋_GB2312" w:eastAsia="方正仿宋_GB2312" w:cs="方正仿宋_GB2312"/>
          <w:snapToGrid w:val="0"/>
          <w:color w:val="000000"/>
          <w:kern w:val="0"/>
          <w:sz w:val="28"/>
          <w:szCs w:val="28"/>
          <w:lang w:val="en-US" w:eastAsia="zh-CN" w:bidi="ar-SA"/>
        </w:rPr>
        <w:t>方案，</w:t>
      </w:r>
      <w:r>
        <w:rPr>
          <w:rFonts w:hint="eastAsia" w:ascii="方正仿宋_GB2312" w:hAnsi="方正仿宋_GB2312" w:eastAsia="方正仿宋_GB2312" w:cs="方正仿宋_GB2312"/>
          <w:snapToGrid w:val="0"/>
          <w:color w:val="000000"/>
          <w:kern w:val="0"/>
          <w:sz w:val="28"/>
          <w:szCs w:val="28"/>
          <w:lang w:val="en-US" w:eastAsia="en-US" w:bidi="ar-SA"/>
        </w:rPr>
        <w:t>经</w:t>
      </w:r>
      <w:r>
        <w:rPr>
          <w:rFonts w:hint="eastAsia" w:ascii="方正仿宋_GB2312" w:hAnsi="方正仿宋_GB2312" w:eastAsia="方正仿宋_GB2312" w:cs="方正仿宋_GB2312"/>
          <w:snapToGrid w:val="0"/>
          <w:color w:val="000000"/>
          <w:kern w:val="0"/>
          <w:sz w:val="28"/>
          <w:szCs w:val="28"/>
          <w:lang w:val="en-US" w:eastAsia="zh-CN" w:bidi="ar-SA"/>
        </w:rPr>
        <w:t>喀什市</w:t>
      </w:r>
      <w:r>
        <w:rPr>
          <w:rFonts w:hint="eastAsia" w:ascii="方正仿宋_GB2312" w:hAnsi="方正仿宋_GB2312" w:eastAsia="方正仿宋_GB2312" w:cs="方正仿宋_GB2312"/>
          <w:snapToGrid w:val="0"/>
          <w:color w:val="000000"/>
          <w:kern w:val="0"/>
          <w:sz w:val="28"/>
          <w:szCs w:val="28"/>
          <w:lang w:val="en-US" w:eastAsia="en-US" w:bidi="ar-SA"/>
        </w:rPr>
        <w:t>人民政府批准后实施执行。</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4、本方案未尽事宜，参照有关法律法规和规章的相关条款执行。</w:t>
      </w:r>
    </w:p>
    <w:p>
      <w:pPr>
        <w:kinsoku w:val="0"/>
        <w:autoSpaceDE w:val="0"/>
        <w:autoSpaceDN w:val="0"/>
        <w:adjustRightInd w:val="0"/>
        <w:snapToGrid w:val="0"/>
        <w:spacing w:after="0" w:line="360" w:lineRule="auto"/>
        <w:ind w:firstLine="560" w:firstLineChars="200"/>
        <w:jc w:val="both"/>
        <w:textAlignment w:val="baseline"/>
        <w:rPr>
          <w:rFonts w:hint="eastAsia" w:ascii="方正仿宋_GB2312" w:hAnsi="方正仿宋_GB2312" w:eastAsia="方正仿宋_GB2312" w:cs="方正仿宋_GB2312"/>
          <w:snapToGrid w:val="0"/>
          <w:color w:val="000000"/>
          <w:kern w:val="0"/>
          <w:sz w:val="28"/>
          <w:szCs w:val="28"/>
          <w:lang w:val="en-US" w:eastAsia="zh-CN" w:bidi="ar-SA"/>
        </w:rPr>
      </w:pPr>
    </w:p>
    <w:p>
      <w:pPr>
        <w:kinsoku w:val="0"/>
        <w:autoSpaceDE w:val="0"/>
        <w:autoSpaceDN w:val="0"/>
        <w:adjustRightInd w:val="0"/>
        <w:snapToGrid w:val="0"/>
        <w:spacing w:after="0" w:line="360" w:lineRule="auto"/>
        <w:ind w:firstLine="560" w:firstLineChars="200"/>
        <w:jc w:val="both"/>
        <w:textAlignment w:val="baseline"/>
        <w:rPr>
          <w:rFonts w:hint="eastAsia" w:ascii="方正仿宋_GB2312" w:hAnsi="方正仿宋_GB2312" w:eastAsia="方正仿宋_GB2312" w:cs="方正仿宋_GB2312"/>
          <w:snapToGrid w:val="0"/>
          <w:color w:val="000000"/>
          <w:kern w:val="0"/>
          <w:sz w:val="28"/>
          <w:szCs w:val="28"/>
          <w:lang w:val="en-US" w:eastAsia="zh-CN" w:bidi="ar-SA"/>
        </w:rPr>
      </w:pPr>
    </w:p>
    <w:p>
      <w:pPr>
        <w:rPr>
          <w:rFonts w:hint="eastAsia" w:eastAsia="方正黑体_GBK" w:asciiTheme="majorAscii" w:hAnsiTheme="majorAscii" w:cstheme="majorBidi"/>
          <w:bCs/>
          <w:sz w:val="32"/>
          <w:szCs w:val="26"/>
          <w:lang w:val="en-US" w:eastAsia="zh-CN" w:bidi="en-US"/>
        </w:rPr>
        <w:sectPr>
          <w:footerReference r:id="rId6"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方正黑体_GBK" w:asciiTheme="majorAscii" w:hAnsiTheme="majorAscii" w:cstheme="majorBidi"/>
          <w:bCs/>
          <w:sz w:val="32"/>
          <w:szCs w:val="26"/>
          <w:lang w:val="en-US" w:eastAsia="zh-CN" w:bidi="en-US"/>
        </w:rPr>
        <w:br w:type="page"/>
      </w:r>
    </w:p>
    <w:p>
      <w:pPr>
        <w:kinsoku w:val="0"/>
        <w:autoSpaceDE w:val="0"/>
        <w:autoSpaceDN w:val="0"/>
        <w:adjustRightInd w:val="0"/>
        <w:snapToGrid w:val="0"/>
        <w:spacing w:after="0" w:line="240" w:lineRule="auto"/>
        <w:jc w:val="both"/>
        <w:textAlignment w:val="baseline"/>
        <w:rPr>
          <w:rFonts w:hint="default" w:eastAsia="方正黑体_GBK" w:asciiTheme="majorAscii" w:hAnsiTheme="majorAscii" w:cstheme="majorBidi"/>
          <w:bCs/>
          <w:sz w:val="32"/>
          <w:szCs w:val="26"/>
          <w:lang w:val="en-US" w:eastAsia="zh-CN" w:bidi="en-US"/>
        </w:rPr>
      </w:pPr>
      <w:r>
        <w:rPr>
          <w:rFonts w:hint="eastAsia" w:eastAsia="方正黑体_GBK" w:asciiTheme="majorAscii" w:hAnsiTheme="majorAscii" w:cstheme="majorBidi"/>
          <w:bCs/>
          <w:sz w:val="32"/>
          <w:szCs w:val="26"/>
          <w:lang w:val="en-US" w:eastAsia="zh-CN" w:bidi="en-US"/>
        </w:rPr>
        <w:t>附图：</w:t>
      </w:r>
    </w:p>
    <w:bookmarkEnd w:id="50"/>
    <w:bookmarkEnd w:id="51"/>
    <w:p>
      <w:pPr>
        <w:kinsoku w:val="0"/>
        <w:autoSpaceDE w:val="0"/>
        <w:autoSpaceDN w:val="0"/>
        <w:adjustRightInd w:val="0"/>
        <w:snapToGrid w:val="0"/>
        <w:spacing w:after="0" w:line="360" w:lineRule="auto"/>
        <w:jc w:val="center"/>
        <w:textAlignment w:val="baseline"/>
        <w:rPr>
          <w:rFonts w:hint="eastAsia" w:ascii="方正仿宋_GBK" w:hAnsi="方正仿宋_GBK" w:eastAsia="方正仿宋_GBK" w:cs="方正仿宋_GBK"/>
          <w:b/>
          <w:bCs w:val="0"/>
          <w:sz w:val="28"/>
          <w:szCs w:val="28"/>
          <w:lang w:val="en-US" w:eastAsia="zh-CN"/>
        </w:rPr>
        <w:sectPr>
          <w:pgSz w:w="11850" w:h="16783"/>
          <w:pgMar w:top="1984" w:right="1531" w:bottom="170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方正仿宋_GB2312" w:hAnsi="方正仿宋_GB2312" w:eastAsia="方正仿宋_GB2312" w:cs="方正仿宋_GB2312"/>
          <w:snapToGrid w:val="0"/>
          <w:color w:val="auto"/>
          <w:kern w:val="0"/>
          <w:sz w:val="28"/>
          <w:szCs w:val="28"/>
          <w:lang w:val="en-US" w:eastAsia="zh-CN" w:bidi="ar-SA"/>
        </w:rPr>
        <w:drawing>
          <wp:inline distT="0" distB="0" distL="114300" distR="114300">
            <wp:extent cx="5757545" cy="7790815"/>
            <wp:effectExtent l="0" t="0" r="14605" b="635"/>
            <wp:docPr id="1" name="图片 1" descr="6c07fde018d67ef092169109c7d7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07fde018d67ef092169109c7d7abb"/>
                    <pic:cNvPicPr>
                      <a:picLocks noChangeAspect="1"/>
                    </pic:cNvPicPr>
                  </pic:nvPicPr>
                  <pic:blipFill>
                    <a:blip r:embed="rId8"/>
                    <a:stretch>
                      <a:fillRect/>
                    </a:stretch>
                  </pic:blipFill>
                  <pic:spPr>
                    <a:xfrm>
                      <a:off x="0" y="0"/>
                      <a:ext cx="5757545" cy="7790815"/>
                    </a:xfrm>
                    <a:prstGeom prst="rect">
                      <a:avLst/>
                    </a:prstGeom>
                  </pic:spPr>
                </pic:pic>
              </a:graphicData>
            </a:graphic>
          </wp:inline>
        </w:drawing>
      </w:r>
      <w:bookmarkStart w:id="72" w:name="_Toc3632"/>
    </w:p>
    <w:bookmarkEnd w:id="72"/>
    <w:p>
      <w:pPr>
        <w:kinsoku w:val="0"/>
        <w:autoSpaceDE w:val="0"/>
        <w:autoSpaceDN w:val="0"/>
        <w:adjustRightInd w:val="0"/>
        <w:snapToGrid w:val="0"/>
        <w:spacing w:after="0" w:line="360" w:lineRule="auto"/>
        <w:jc w:val="both"/>
        <w:textAlignment w:val="baseline"/>
        <w:rPr>
          <w:rFonts w:hint="eastAsia" w:ascii="方正仿宋_GB2312" w:hAnsi="方正仿宋_GB2312" w:eastAsia="方正仿宋_GB2312" w:cs="方正仿宋_GB2312"/>
          <w:snapToGrid w:val="0"/>
          <w:color w:val="auto"/>
          <w:kern w:val="0"/>
          <w:sz w:val="28"/>
          <w:szCs w:val="28"/>
          <w:lang w:val="en-US" w:eastAsia="zh-CN" w:bidi="ar-SA"/>
        </w:rPr>
      </w:pPr>
      <w:bookmarkStart w:id="73" w:name="_GoBack"/>
      <w:bookmarkEnd w:id="73"/>
    </w:p>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textDirection w:val="tbRl"/>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1" w:fontKey="{13E7994E-8E17-4F06-B5FB-9A362CA183AB}"/>
  </w:font>
  <w:font w:name="方正小标宋简体">
    <w:altName w:val="仿宋_GB2312"/>
    <w:panose1 w:val="02010601030101010101"/>
    <w:charset w:val="86"/>
    <w:family w:val="auto"/>
    <w:pitch w:val="default"/>
    <w:sig w:usb0="00000000" w:usb1="0000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2" w:fontKey="{4D9B093F-C6D6-4A87-B572-0B2E1FF051DF}"/>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embedRegular r:id="rId3" w:fontKey="{90E6678C-A9DA-4633-A2BC-4B2673EE5F88}"/>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4" w:fontKey="{F4AAD516-A037-4C68-92AE-6C4D15EAE5F6}"/>
  </w:font>
  <w:font w:name="方正大标宋简体">
    <w:altName w:val="微软雅黑"/>
    <w:panose1 w:val="02010601030101010101"/>
    <w:charset w:val="86"/>
    <w:family w:val="auto"/>
    <w:pitch w:val="default"/>
    <w:sig w:usb0="00000000" w:usb1="00000000" w:usb2="00000000" w:usb3="00000000" w:csb0="00040000" w:csb1="00000000"/>
    <w:embedRegular r:id="rId5" w:fontKey="{E797738B-4580-4CFA-B94A-3A7C31B099B9}"/>
  </w:font>
  <w:font w:name="华文楷体">
    <w:panose1 w:val="02010600040101010101"/>
    <w:charset w:val="86"/>
    <w:family w:val="auto"/>
    <w:pitch w:val="default"/>
    <w:sig w:usb0="00000000" w:usb1="00000000" w:usb2="00000000" w:usb3="00000000" w:csb0="00000000" w:csb1="00000000"/>
  </w:font>
  <w:font w:name="方正大黑简体">
    <w:altName w:val="黑体"/>
    <w:panose1 w:val="02010601030101010101"/>
    <w:charset w:val="86"/>
    <w:family w:val="auto"/>
    <w:pitch w:val="default"/>
    <w:sig w:usb0="00000000" w:usb1="00000000" w:usb2="00000000" w:usb3="00000000" w:csb0="00040000" w:csb1="00000000"/>
    <w:embedRegular r:id="rId6" w:fontKey="{92A5B678-DE77-4941-9999-35C5E8669D09}"/>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394"/>
        <w:tab w:val="clear" w:pos="4153"/>
      </w:tabs>
      <w:rPr>
        <w:rFonts w:hint="default"/>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6"/>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C258D0"/>
    <w:multiLevelType w:val="singleLevel"/>
    <w:tmpl w:val="54C258D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NWE5NjVmZjljNGJiMGIyYTdkMDE5ZGZiMzA0OTIifQ=="/>
    <w:docVar w:name="KSO_WPS_MARK_KEY" w:val="6b4c56bf-2b7f-47f6-b49a-23d0512a8aea"/>
  </w:docVars>
  <w:rsids>
    <w:rsidRoot w:val="00172A27"/>
    <w:rsid w:val="0000047B"/>
    <w:rsid w:val="00000481"/>
    <w:rsid w:val="00002536"/>
    <w:rsid w:val="0000277E"/>
    <w:rsid w:val="00002783"/>
    <w:rsid w:val="00003289"/>
    <w:rsid w:val="00003D3D"/>
    <w:rsid w:val="000051DC"/>
    <w:rsid w:val="00006F8D"/>
    <w:rsid w:val="00007C61"/>
    <w:rsid w:val="00007EC4"/>
    <w:rsid w:val="00014013"/>
    <w:rsid w:val="00014907"/>
    <w:rsid w:val="00015BF8"/>
    <w:rsid w:val="00020322"/>
    <w:rsid w:val="000248C5"/>
    <w:rsid w:val="000273C0"/>
    <w:rsid w:val="0002740A"/>
    <w:rsid w:val="000333AD"/>
    <w:rsid w:val="000362F2"/>
    <w:rsid w:val="00036B02"/>
    <w:rsid w:val="0003773E"/>
    <w:rsid w:val="00037D15"/>
    <w:rsid w:val="00041C61"/>
    <w:rsid w:val="00043CF9"/>
    <w:rsid w:val="000447D4"/>
    <w:rsid w:val="0004509C"/>
    <w:rsid w:val="00047566"/>
    <w:rsid w:val="00050FF9"/>
    <w:rsid w:val="0005264C"/>
    <w:rsid w:val="00052D6A"/>
    <w:rsid w:val="00052E1D"/>
    <w:rsid w:val="0005678A"/>
    <w:rsid w:val="00060169"/>
    <w:rsid w:val="00060A99"/>
    <w:rsid w:val="0006136E"/>
    <w:rsid w:val="00061E6D"/>
    <w:rsid w:val="000635D2"/>
    <w:rsid w:val="00063F59"/>
    <w:rsid w:val="0006482A"/>
    <w:rsid w:val="000648F4"/>
    <w:rsid w:val="000668E9"/>
    <w:rsid w:val="00067A46"/>
    <w:rsid w:val="000712FC"/>
    <w:rsid w:val="00071DC7"/>
    <w:rsid w:val="0007770A"/>
    <w:rsid w:val="00077E8B"/>
    <w:rsid w:val="00077FA0"/>
    <w:rsid w:val="00081120"/>
    <w:rsid w:val="00082DAA"/>
    <w:rsid w:val="00085129"/>
    <w:rsid w:val="000856AF"/>
    <w:rsid w:val="0008628F"/>
    <w:rsid w:val="00087D20"/>
    <w:rsid w:val="0009082D"/>
    <w:rsid w:val="0009268E"/>
    <w:rsid w:val="000954B0"/>
    <w:rsid w:val="00095D3F"/>
    <w:rsid w:val="00096140"/>
    <w:rsid w:val="00096D60"/>
    <w:rsid w:val="0009710F"/>
    <w:rsid w:val="0009753E"/>
    <w:rsid w:val="000A1E61"/>
    <w:rsid w:val="000A67F1"/>
    <w:rsid w:val="000A6E2B"/>
    <w:rsid w:val="000A753F"/>
    <w:rsid w:val="000A7D9E"/>
    <w:rsid w:val="000A7F89"/>
    <w:rsid w:val="000B03E7"/>
    <w:rsid w:val="000B0B00"/>
    <w:rsid w:val="000B14ED"/>
    <w:rsid w:val="000B20E7"/>
    <w:rsid w:val="000B3B47"/>
    <w:rsid w:val="000B3D81"/>
    <w:rsid w:val="000B3DD8"/>
    <w:rsid w:val="000B3EFC"/>
    <w:rsid w:val="000B4CE5"/>
    <w:rsid w:val="000B4FBC"/>
    <w:rsid w:val="000B7458"/>
    <w:rsid w:val="000C389F"/>
    <w:rsid w:val="000C3AA9"/>
    <w:rsid w:val="000C6149"/>
    <w:rsid w:val="000C7AF8"/>
    <w:rsid w:val="000D0AD9"/>
    <w:rsid w:val="000D4AEC"/>
    <w:rsid w:val="000D4F93"/>
    <w:rsid w:val="000D7322"/>
    <w:rsid w:val="000E0001"/>
    <w:rsid w:val="000E3A48"/>
    <w:rsid w:val="000E403C"/>
    <w:rsid w:val="000E408D"/>
    <w:rsid w:val="000E4845"/>
    <w:rsid w:val="000E52CF"/>
    <w:rsid w:val="000F3B0A"/>
    <w:rsid w:val="000F400A"/>
    <w:rsid w:val="000F5381"/>
    <w:rsid w:val="0010095E"/>
    <w:rsid w:val="00100F3B"/>
    <w:rsid w:val="00101412"/>
    <w:rsid w:val="00101D47"/>
    <w:rsid w:val="00102550"/>
    <w:rsid w:val="00103E63"/>
    <w:rsid w:val="00106CEB"/>
    <w:rsid w:val="00107926"/>
    <w:rsid w:val="00107A3A"/>
    <w:rsid w:val="00110C41"/>
    <w:rsid w:val="0011137F"/>
    <w:rsid w:val="00112DDD"/>
    <w:rsid w:val="00113AA2"/>
    <w:rsid w:val="001145D2"/>
    <w:rsid w:val="00115CE5"/>
    <w:rsid w:val="00116BE6"/>
    <w:rsid w:val="00116C98"/>
    <w:rsid w:val="0011753E"/>
    <w:rsid w:val="00117AE5"/>
    <w:rsid w:val="00121D4A"/>
    <w:rsid w:val="00122BC8"/>
    <w:rsid w:val="001234B6"/>
    <w:rsid w:val="001244CF"/>
    <w:rsid w:val="00125192"/>
    <w:rsid w:val="00126702"/>
    <w:rsid w:val="00126D22"/>
    <w:rsid w:val="00130BF3"/>
    <w:rsid w:val="00130E37"/>
    <w:rsid w:val="00132E57"/>
    <w:rsid w:val="00135BBF"/>
    <w:rsid w:val="00137C69"/>
    <w:rsid w:val="0014012D"/>
    <w:rsid w:val="00140A5D"/>
    <w:rsid w:val="00141354"/>
    <w:rsid w:val="001422FD"/>
    <w:rsid w:val="00142E05"/>
    <w:rsid w:val="00143EEF"/>
    <w:rsid w:val="001441C3"/>
    <w:rsid w:val="001443E3"/>
    <w:rsid w:val="00145651"/>
    <w:rsid w:val="001501E0"/>
    <w:rsid w:val="001517A2"/>
    <w:rsid w:val="0015235B"/>
    <w:rsid w:val="00154168"/>
    <w:rsid w:val="00154F5E"/>
    <w:rsid w:val="00160E8D"/>
    <w:rsid w:val="0016140C"/>
    <w:rsid w:val="00165FC7"/>
    <w:rsid w:val="001661CB"/>
    <w:rsid w:val="00167E68"/>
    <w:rsid w:val="00170227"/>
    <w:rsid w:val="001727FB"/>
    <w:rsid w:val="00172A27"/>
    <w:rsid w:val="00172DF2"/>
    <w:rsid w:val="00174C1C"/>
    <w:rsid w:val="0017557C"/>
    <w:rsid w:val="001757B7"/>
    <w:rsid w:val="00176034"/>
    <w:rsid w:val="00176D0A"/>
    <w:rsid w:val="00176D4B"/>
    <w:rsid w:val="00177EC6"/>
    <w:rsid w:val="00180619"/>
    <w:rsid w:val="0018240F"/>
    <w:rsid w:val="0018356A"/>
    <w:rsid w:val="001855FD"/>
    <w:rsid w:val="00185EDA"/>
    <w:rsid w:val="00185F96"/>
    <w:rsid w:val="0018627F"/>
    <w:rsid w:val="001862CC"/>
    <w:rsid w:val="0018672A"/>
    <w:rsid w:val="00186F40"/>
    <w:rsid w:val="0018710F"/>
    <w:rsid w:val="00187549"/>
    <w:rsid w:val="00187F74"/>
    <w:rsid w:val="00191F57"/>
    <w:rsid w:val="00192059"/>
    <w:rsid w:val="001926B8"/>
    <w:rsid w:val="001927BA"/>
    <w:rsid w:val="0019325F"/>
    <w:rsid w:val="0019334E"/>
    <w:rsid w:val="001946CB"/>
    <w:rsid w:val="00197B74"/>
    <w:rsid w:val="001A0598"/>
    <w:rsid w:val="001A20B5"/>
    <w:rsid w:val="001A5D6F"/>
    <w:rsid w:val="001A5F6F"/>
    <w:rsid w:val="001B0515"/>
    <w:rsid w:val="001B1D6B"/>
    <w:rsid w:val="001B330F"/>
    <w:rsid w:val="001B33D3"/>
    <w:rsid w:val="001B4722"/>
    <w:rsid w:val="001B5087"/>
    <w:rsid w:val="001B6657"/>
    <w:rsid w:val="001B6A35"/>
    <w:rsid w:val="001B769B"/>
    <w:rsid w:val="001B7F5C"/>
    <w:rsid w:val="001C0381"/>
    <w:rsid w:val="001C07F5"/>
    <w:rsid w:val="001C1013"/>
    <w:rsid w:val="001C1886"/>
    <w:rsid w:val="001C1954"/>
    <w:rsid w:val="001C2DA5"/>
    <w:rsid w:val="001C3548"/>
    <w:rsid w:val="001C3CE7"/>
    <w:rsid w:val="001C4D2E"/>
    <w:rsid w:val="001C5491"/>
    <w:rsid w:val="001C6B1A"/>
    <w:rsid w:val="001D0AC7"/>
    <w:rsid w:val="001D208F"/>
    <w:rsid w:val="001D2962"/>
    <w:rsid w:val="001D5E77"/>
    <w:rsid w:val="001D64DD"/>
    <w:rsid w:val="001E00E5"/>
    <w:rsid w:val="001E058A"/>
    <w:rsid w:val="001E05C0"/>
    <w:rsid w:val="001E37F7"/>
    <w:rsid w:val="001E38FD"/>
    <w:rsid w:val="001E727A"/>
    <w:rsid w:val="001E7B5C"/>
    <w:rsid w:val="001F0BF4"/>
    <w:rsid w:val="001F170E"/>
    <w:rsid w:val="001F182D"/>
    <w:rsid w:val="001F1FE0"/>
    <w:rsid w:val="001F4E8E"/>
    <w:rsid w:val="001F59E8"/>
    <w:rsid w:val="001F5F18"/>
    <w:rsid w:val="001F602D"/>
    <w:rsid w:val="001F6E6F"/>
    <w:rsid w:val="001F7A62"/>
    <w:rsid w:val="0020044F"/>
    <w:rsid w:val="00201214"/>
    <w:rsid w:val="002040BF"/>
    <w:rsid w:val="00204CA2"/>
    <w:rsid w:val="00207398"/>
    <w:rsid w:val="00210352"/>
    <w:rsid w:val="0021184F"/>
    <w:rsid w:val="00212016"/>
    <w:rsid w:val="00212A2E"/>
    <w:rsid w:val="002136C3"/>
    <w:rsid w:val="00214361"/>
    <w:rsid w:val="00214FF0"/>
    <w:rsid w:val="00215501"/>
    <w:rsid w:val="002163D8"/>
    <w:rsid w:val="00216F82"/>
    <w:rsid w:val="00217D40"/>
    <w:rsid w:val="00217D62"/>
    <w:rsid w:val="00217D6D"/>
    <w:rsid w:val="002215D4"/>
    <w:rsid w:val="00221AD7"/>
    <w:rsid w:val="002229E4"/>
    <w:rsid w:val="0022371B"/>
    <w:rsid w:val="0022437A"/>
    <w:rsid w:val="00224F42"/>
    <w:rsid w:val="00225AB5"/>
    <w:rsid w:val="00225CA0"/>
    <w:rsid w:val="0022654A"/>
    <w:rsid w:val="0022690E"/>
    <w:rsid w:val="00231BE0"/>
    <w:rsid w:val="00233080"/>
    <w:rsid w:val="002352FA"/>
    <w:rsid w:val="00235B1B"/>
    <w:rsid w:val="00236455"/>
    <w:rsid w:val="0023667B"/>
    <w:rsid w:val="00236B49"/>
    <w:rsid w:val="00236DB7"/>
    <w:rsid w:val="00237173"/>
    <w:rsid w:val="002374E3"/>
    <w:rsid w:val="00237840"/>
    <w:rsid w:val="00237EAE"/>
    <w:rsid w:val="0024242C"/>
    <w:rsid w:val="00243F83"/>
    <w:rsid w:val="002447E4"/>
    <w:rsid w:val="00244F03"/>
    <w:rsid w:val="0024502F"/>
    <w:rsid w:val="00246BDF"/>
    <w:rsid w:val="00250ED0"/>
    <w:rsid w:val="002529F6"/>
    <w:rsid w:val="00252A11"/>
    <w:rsid w:val="00254132"/>
    <w:rsid w:val="00254A11"/>
    <w:rsid w:val="002556A3"/>
    <w:rsid w:val="00255D3E"/>
    <w:rsid w:val="002560B8"/>
    <w:rsid w:val="002565B0"/>
    <w:rsid w:val="00256B2A"/>
    <w:rsid w:val="00257BFC"/>
    <w:rsid w:val="002612CD"/>
    <w:rsid w:val="00261EB9"/>
    <w:rsid w:val="002622D0"/>
    <w:rsid w:val="0026231E"/>
    <w:rsid w:val="002623F6"/>
    <w:rsid w:val="00262664"/>
    <w:rsid w:val="00267A89"/>
    <w:rsid w:val="00270622"/>
    <w:rsid w:val="00271978"/>
    <w:rsid w:val="00271A55"/>
    <w:rsid w:val="0027418D"/>
    <w:rsid w:val="00275903"/>
    <w:rsid w:val="00277097"/>
    <w:rsid w:val="002776B6"/>
    <w:rsid w:val="00280748"/>
    <w:rsid w:val="00281A52"/>
    <w:rsid w:val="00282336"/>
    <w:rsid w:val="0028305D"/>
    <w:rsid w:val="00283E06"/>
    <w:rsid w:val="00285CDF"/>
    <w:rsid w:val="00285E06"/>
    <w:rsid w:val="00286E9C"/>
    <w:rsid w:val="0028717A"/>
    <w:rsid w:val="00287A7E"/>
    <w:rsid w:val="00290288"/>
    <w:rsid w:val="0029073D"/>
    <w:rsid w:val="00291435"/>
    <w:rsid w:val="00292670"/>
    <w:rsid w:val="00292979"/>
    <w:rsid w:val="002944EB"/>
    <w:rsid w:val="00294C8F"/>
    <w:rsid w:val="002950F1"/>
    <w:rsid w:val="00295F98"/>
    <w:rsid w:val="00297A75"/>
    <w:rsid w:val="00297E23"/>
    <w:rsid w:val="002A0B4C"/>
    <w:rsid w:val="002A15B4"/>
    <w:rsid w:val="002A1825"/>
    <w:rsid w:val="002A1B6E"/>
    <w:rsid w:val="002A29F3"/>
    <w:rsid w:val="002A3018"/>
    <w:rsid w:val="002A318C"/>
    <w:rsid w:val="002A3D0E"/>
    <w:rsid w:val="002A4BF8"/>
    <w:rsid w:val="002A58AF"/>
    <w:rsid w:val="002B149E"/>
    <w:rsid w:val="002B20C3"/>
    <w:rsid w:val="002B21F6"/>
    <w:rsid w:val="002B2999"/>
    <w:rsid w:val="002B3D04"/>
    <w:rsid w:val="002B4196"/>
    <w:rsid w:val="002B488C"/>
    <w:rsid w:val="002C12CF"/>
    <w:rsid w:val="002C2666"/>
    <w:rsid w:val="002C6204"/>
    <w:rsid w:val="002D0A13"/>
    <w:rsid w:val="002D33E8"/>
    <w:rsid w:val="002D3812"/>
    <w:rsid w:val="002D731E"/>
    <w:rsid w:val="002D7E11"/>
    <w:rsid w:val="002E1149"/>
    <w:rsid w:val="002E1242"/>
    <w:rsid w:val="002E25C7"/>
    <w:rsid w:val="002E4256"/>
    <w:rsid w:val="002E58ED"/>
    <w:rsid w:val="002E6206"/>
    <w:rsid w:val="002E73D6"/>
    <w:rsid w:val="002E75E1"/>
    <w:rsid w:val="002F1DE2"/>
    <w:rsid w:val="002F23CA"/>
    <w:rsid w:val="002F32BC"/>
    <w:rsid w:val="002F34ED"/>
    <w:rsid w:val="002F6596"/>
    <w:rsid w:val="002F6FE4"/>
    <w:rsid w:val="002F7293"/>
    <w:rsid w:val="002F7AB9"/>
    <w:rsid w:val="002F7E4E"/>
    <w:rsid w:val="00300DD6"/>
    <w:rsid w:val="00300F11"/>
    <w:rsid w:val="00300FED"/>
    <w:rsid w:val="00302866"/>
    <w:rsid w:val="0030286D"/>
    <w:rsid w:val="00302E93"/>
    <w:rsid w:val="00303576"/>
    <w:rsid w:val="003045B1"/>
    <w:rsid w:val="00304C1C"/>
    <w:rsid w:val="00305915"/>
    <w:rsid w:val="00305B8E"/>
    <w:rsid w:val="0030696A"/>
    <w:rsid w:val="003073E5"/>
    <w:rsid w:val="003125AD"/>
    <w:rsid w:val="00312E82"/>
    <w:rsid w:val="0031438B"/>
    <w:rsid w:val="00314EE3"/>
    <w:rsid w:val="0031543E"/>
    <w:rsid w:val="00316644"/>
    <w:rsid w:val="00320D40"/>
    <w:rsid w:val="00321266"/>
    <w:rsid w:val="00321B50"/>
    <w:rsid w:val="00322794"/>
    <w:rsid w:val="00325657"/>
    <w:rsid w:val="00326916"/>
    <w:rsid w:val="00327629"/>
    <w:rsid w:val="00327F47"/>
    <w:rsid w:val="0033008F"/>
    <w:rsid w:val="003302FC"/>
    <w:rsid w:val="00330657"/>
    <w:rsid w:val="00331281"/>
    <w:rsid w:val="00332B46"/>
    <w:rsid w:val="003345D2"/>
    <w:rsid w:val="003347D9"/>
    <w:rsid w:val="00335961"/>
    <w:rsid w:val="003364A0"/>
    <w:rsid w:val="00336DB2"/>
    <w:rsid w:val="003401DF"/>
    <w:rsid w:val="00342808"/>
    <w:rsid w:val="00342F62"/>
    <w:rsid w:val="00343335"/>
    <w:rsid w:val="00343A3D"/>
    <w:rsid w:val="00343F27"/>
    <w:rsid w:val="00345876"/>
    <w:rsid w:val="003458A6"/>
    <w:rsid w:val="003462F7"/>
    <w:rsid w:val="0034658B"/>
    <w:rsid w:val="003468AC"/>
    <w:rsid w:val="00346F1C"/>
    <w:rsid w:val="00350132"/>
    <w:rsid w:val="00350D49"/>
    <w:rsid w:val="00351D6F"/>
    <w:rsid w:val="00352BC3"/>
    <w:rsid w:val="00354112"/>
    <w:rsid w:val="00354E93"/>
    <w:rsid w:val="003551F3"/>
    <w:rsid w:val="0035522E"/>
    <w:rsid w:val="003562B9"/>
    <w:rsid w:val="003603CA"/>
    <w:rsid w:val="00360AA9"/>
    <w:rsid w:val="00360D0C"/>
    <w:rsid w:val="0036172D"/>
    <w:rsid w:val="00363DC1"/>
    <w:rsid w:val="00363FC5"/>
    <w:rsid w:val="00364E9F"/>
    <w:rsid w:val="00366FAF"/>
    <w:rsid w:val="0036720B"/>
    <w:rsid w:val="00367492"/>
    <w:rsid w:val="003678F1"/>
    <w:rsid w:val="00372407"/>
    <w:rsid w:val="0037255A"/>
    <w:rsid w:val="00374001"/>
    <w:rsid w:val="00374294"/>
    <w:rsid w:val="00380CDA"/>
    <w:rsid w:val="00382CD5"/>
    <w:rsid w:val="00385447"/>
    <w:rsid w:val="00386F94"/>
    <w:rsid w:val="0038728B"/>
    <w:rsid w:val="00391120"/>
    <w:rsid w:val="0039165F"/>
    <w:rsid w:val="003928C7"/>
    <w:rsid w:val="00392AAB"/>
    <w:rsid w:val="00392E8F"/>
    <w:rsid w:val="003935E7"/>
    <w:rsid w:val="00395742"/>
    <w:rsid w:val="00395969"/>
    <w:rsid w:val="003959FE"/>
    <w:rsid w:val="003968AB"/>
    <w:rsid w:val="00397244"/>
    <w:rsid w:val="003A0AF0"/>
    <w:rsid w:val="003A1C52"/>
    <w:rsid w:val="003A326A"/>
    <w:rsid w:val="003A3E24"/>
    <w:rsid w:val="003A4B06"/>
    <w:rsid w:val="003A55A1"/>
    <w:rsid w:val="003A6A31"/>
    <w:rsid w:val="003B06CC"/>
    <w:rsid w:val="003B0737"/>
    <w:rsid w:val="003B18D0"/>
    <w:rsid w:val="003B2692"/>
    <w:rsid w:val="003B3360"/>
    <w:rsid w:val="003B3A19"/>
    <w:rsid w:val="003B635E"/>
    <w:rsid w:val="003B6C2E"/>
    <w:rsid w:val="003C023A"/>
    <w:rsid w:val="003C0343"/>
    <w:rsid w:val="003C186F"/>
    <w:rsid w:val="003C251E"/>
    <w:rsid w:val="003C3559"/>
    <w:rsid w:val="003C36DC"/>
    <w:rsid w:val="003C36E8"/>
    <w:rsid w:val="003C37FC"/>
    <w:rsid w:val="003C525E"/>
    <w:rsid w:val="003C7027"/>
    <w:rsid w:val="003C7583"/>
    <w:rsid w:val="003D2270"/>
    <w:rsid w:val="003D386F"/>
    <w:rsid w:val="003D3BDC"/>
    <w:rsid w:val="003D4539"/>
    <w:rsid w:val="003D5A31"/>
    <w:rsid w:val="003E0BCA"/>
    <w:rsid w:val="003E0C19"/>
    <w:rsid w:val="003E1428"/>
    <w:rsid w:val="003E20CF"/>
    <w:rsid w:val="003E2EC7"/>
    <w:rsid w:val="003E4A8B"/>
    <w:rsid w:val="003E6B67"/>
    <w:rsid w:val="003E787D"/>
    <w:rsid w:val="003F1532"/>
    <w:rsid w:val="003F24C9"/>
    <w:rsid w:val="003F2907"/>
    <w:rsid w:val="003F3332"/>
    <w:rsid w:val="003F349A"/>
    <w:rsid w:val="003F3BAA"/>
    <w:rsid w:val="003F4FE6"/>
    <w:rsid w:val="003F59C9"/>
    <w:rsid w:val="0040089A"/>
    <w:rsid w:val="0040292C"/>
    <w:rsid w:val="00403B87"/>
    <w:rsid w:val="00406438"/>
    <w:rsid w:val="004107D3"/>
    <w:rsid w:val="004117BD"/>
    <w:rsid w:val="00414E7F"/>
    <w:rsid w:val="004166DC"/>
    <w:rsid w:val="00416B47"/>
    <w:rsid w:val="00416FFE"/>
    <w:rsid w:val="00417FF5"/>
    <w:rsid w:val="0042080F"/>
    <w:rsid w:val="00420958"/>
    <w:rsid w:val="00420C1D"/>
    <w:rsid w:val="00420E33"/>
    <w:rsid w:val="004233A1"/>
    <w:rsid w:val="0042382F"/>
    <w:rsid w:val="00424C42"/>
    <w:rsid w:val="004265B3"/>
    <w:rsid w:val="0042697E"/>
    <w:rsid w:val="00430271"/>
    <w:rsid w:val="004318C9"/>
    <w:rsid w:val="004325AA"/>
    <w:rsid w:val="00433421"/>
    <w:rsid w:val="00433488"/>
    <w:rsid w:val="004367DE"/>
    <w:rsid w:val="0044043D"/>
    <w:rsid w:val="00440555"/>
    <w:rsid w:val="00440A4A"/>
    <w:rsid w:val="00441E31"/>
    <w:rsid w:val="00442CE8"/>
    <w:rsid w:val="00442FE9"/>
    <w:rsid w:val="004431D9"/>
    <w:rsid w:val="00443DDE"/>
    <w:rsid w:val="00444583"/>
    <w:rsid w:val="00444973"/>
    <w:rsid w:val="0044540F"/>
    <w:rsid w:val="004464E8"/>
    <w:rsid w:val="00447931"/>
    <w:rsid w:val="00447E31"/>
    <w:rsid w:val="004534A2"/>
    <w:rsid w:val="0045377C"/>
    <w:rsid w:val="00454F6C"/>
    <w:rsid w:val="00455FB0"/>
    <w:rsid w:val="004561C6"/>
    <w:rsid w:val="00456F82"/>
    <w:rsid w:val="00457513"/>
    <w:rsid w:val="00457A22"/>
    <w:rsid w:val="00457D54"/>
    <w:rsid w:val="00457F00"/>
    <w:rsid w:val="00460CC5"/>
    <w:rsid w:val="00460E9D"/>
    <w:rsid w:val="00460FD5"/>
    <w:rsid w:val="004618BC"/>
    <w:rsid w:val="0046214C"/>
    <w:rsid w:val="0046314B"/>
    <w:rsid w:val="004640B3"/>
    <w:rsid w:val="00464326"/>
    <w:rsid w:val="00464E52"/>
    <w:rsid w:val="00467186"/>
    <w:rsid w:val="00470F17"/>
    <w:rsid w:val="00471ED4"/>
    <w:rsid w:val="0047300F"/>
    <w:rsid w:val="00474EAD"/>
    <w:rsid w:val="00474F7C"/>
    <w:rsid w:val="0047662F"/>
    <w:rsid w:val="00480976"/>
    <w:rsid w:val="00480A39"/>
    <w:rsid w:val="00481784"/>
    <w:rsid w:val="004819C5"/>
    <w:rsid w:val="00481CD9"/>
    <w:rsid w:val="00481DF1"/>
    <w:rsid w:val="004839FC"/>
    <w:rsid w:val="00484070"/>
    <w:rsid w:val="0048434B"/>
    <w:rsid w:val="00484517"/>
    <w:rsid w:val="004859DB"/>
    <w:rsid w:val="00486A64"/>
    <w:rsid w:val="00486A6E"/>
    <w:rsid w:val="004878FE"/>
    <w:rsid w:val="0049096A"/>
    <w:rsid w:val="00490C08"/>
    <w:rsid w:val="00490F35"/>
    <w:rsid w:val="00490FE7"/>
    <w:rsid w:val="00491A9C"/>
    <w:rsid w:val="00493224"/>
    <w:rsid w:val="00493977"/>
    <w:rsid w:val="0049740B"/>
    <w:rsid w:val="004A0F7E"/>
    <w:rsid w:val="004A1169"/>
    <w:rsid w:val="004A1C88"/>
    <w:rsid w:val="004A4DF0"/>
    <w:rsid w:val="004A5146"/>
    <w:rsid w:val="004A594F"/>
    <w:rsid w:val="004A6767"/>
    <w:rsid w:val="004A79E2"/>
    <w:rsid w:val="004A7F1D"/>
    <w:rsid w:val="004B05D5"/>
    <w:rsid w:val="004B1584"/>
    <w:rsid w:val="004B338F"/>
    <w:rsid w:val="004B6286"/>
    <w:rsid w:val="004B6C08"/>
    <w:rsid w:val="004B6C74"/>
    <w:rsid w:val="004B6D18"/>
    <w:rsid w:val="004B72BA"/>
    <w:rsid w:val="004B7394"/>
    <w:rsid w:val="004B7545"/>
    <w:rsid w:val="004C156C"/>
    <w:rsid w:val="004C3184"/>
    <w:rsid w:val="004C319D"/>
    <w:rsid w:val="004C5CF9"/>
    <w:rsid w:val="004C679C"/>
    <w:rsid w:val="004D1EEF"/>
    <w:rsid w:val="004D265A"/>
    <w:rsid w:val="004D3E2B"/>
    <w:rsid w:val="004D64DE"/>
    <w:rsid w:val="004D6A94"/>
    <w:rsid w:val="004E07A0"/>
    <w:rsid w:val="004E1259"/>
    <w:rsid w:val="004E1275"/>
    <w:rsid w:val="004E1ED4"/>
    <w:rsid w:val="004E2A23"/>
    <w:rsid w:val="004E2A24"/>
    <w:rsid w:val="004E3DA0"/>
    <w:rsid w:val="004E5642"/>
    <w:rsid w:val="004E6349"/>
    <w:rsid w:val="004E6DE9"/>
    <w:rsid w:val="004F09E1"/>
    <w:rsid w:val="004F12F4"/>
    <w:rsid w:val="004F14B6"/>
    <w:rsid w:val="004F495E"/>
    <w:rsid w:val="004F5F6E"/>
    <w:rsid w:val="00500C6A"/>
    <w:rsid w:val="0050137A"/>
    <w:rsid w:val="00501725"/>
    <w:rsid w:val="00503278"/>
    <w:rsid w:val="00503BB9"/>
    <w:rsid w:val="005059B3"/>
    <w:rsid w:val="00506661"/>
    <w:rsid w:val="0051085D"/>
    <w:rsid w:val="005109B3"/>
    <w:rsid w:val="005124CC"/>
    <w:rsid w:val="005140BA"/>
    <w:rsid w:val="00514EE7"/>
    <w:rsid w:val="00522317"/>
    <w:rsid w:val="00522A44"/>
    <w:rsid w:val="00522E06"/>
    <w:rsid w:val="00523994"/>
    <w:rsid w:val="00523CDE"/>
    <w:rsid w:val="0052480E"/>
    <w:rsid w:val="00524840"/>
    <w:rsid w:val="00525036"/>
    <w:rsid w:val="00525A75"/>
    <w:rsid w:val="00525BC5"/>
    <w:rsid w:val="00525C25"/>
    <w:rsid w:val="0053052F"/>
    <w:rsid w:val="00530DC4"/>
    <w:rsid w:val="005323A9"/>
    <w:rsid w:val="00533366"/>
    <w:rsid w:val="005336D3"/>
    <w:rsid w:val="005349F1"/>
    <w:rsid w:val="005350F4"/>
    <w:rsid w:val="00535E4A"/>
    <w:rsid w:val="00535F46"/>
    <w:rsid w:val="00536281"/>
    <w:rsid w:val="00537206"/>
    <w:rsid w:val="00537208"/>
    <w:rsid w:val="00540D54"/>
    <w:rsid w:val="005435D3"/>
    <w:rsid w:val="005446E8"/>
    <w:rsid w:val="00545393"/>
    <w:rsid w:val="00545B84"/>
    <w:rsid w:val="00550044"/>
    <w:rsid w:val="00550380"/>
    <w:rsid w:val="005504BA"/>
    <w:rsid w:val="00550E2B"/>
    <w:rsid w:val="005521A2"/>
    <w:rsid w:val="005522F2"/>
    <w:rsid w:val="00554BC8"/>
    <w:rsid w:val="00555038"/>
    <w:rsid w:val="00555819"/>
    <w:rsid w:val="0055687C"/>
    <w:rsid w:val="0055706C"/>
    <w:rsid w:val="0055750C"/>
    <w:rsid w:val="0055764D"/>
    <w:rsid w:val="005608CF"/>
    <w:rsid w:val="0056263B"/>
    <w:rsid w:val="00562D61"/>
    <w:rsid w:val="0056427B"/>
    <w:rsid w:val="005653CF"/>
    <w:rsid w:val="00565899"/>
    <w:rsid w:val="00567717"/>
    <w:rsid w:val="005706A5"/>
    <w:rsid w:val="005707B5"/>
    <w:rsid w:val="005725D0"/>
    <w:rsid w:val="005735F9"/>
    <w:rsid w:val="00573FE5"/>
    <w:rsid w:val="005743B7"/>
    <w:rsid w:val="005817F9"/>
    <w:rsid w:val="005819FD"/>
    <w:rsid w:val="00582CA0"/>
    <w:rsid w:val="00584527"/>
    <w:rsid w:val="0058565E"/>
    <w:rsid w:val="00585ED7"/>
    <w:rsid w:val="005867E8"/>
    <w:rsid w:val="005874C6"/>
    <w:rsid w:val="0059020B"/>
    <w:rsid w:val="00591D3C"/>
    <w:rsid w:val="005928F4"/>
    <w:rsid w:val="0059382E"/>
    <w:rsid w:val="0059413B"/>
    <w:rsid w:val="00596081"/>
    <w:rsid w:val="00596209"/>
    <w:rsid w:val="00596728"/>
    <w:rsid w:val="005A0FFF"/>
    <w:rsid w:val="005A3FE2"/>
    <w:rsid w:val="005A53C0"/>
    <w:rsid w:val="005A5A04"/>
    <w:rsid w:val="005A72F1"/>
    <w:rsid w:val="005A7FB8"/>
    <w:rsid w:val="005B0E6C"/>
    <w:rsid w:val="005B0F4A"/>
    <w:rsid w:val="005B176A"/>
    <w:rsid w:val="005B1B5B"/>
    <w:rsid w:val="005B35E4"/>
    <w:rsid w:val="005B4654"/>
    <w:rsid w:val="005B4878"/>
    <w:rsid w:val="005B556E"/>
    <w:rsid w:val="005B6433"/>
    <w:rsid w:val="005B71F8"/>
    <w:rsid w:val="005B7ED9"/>
    <w:rsid w:val="005C013D"/>
    <w:rsid w:val="005C0679"/>
    <w:rsid w:val="005C4C6E"/>
    <w:rsid w:val="005C6274"/>
    <w:rsid w:val="005D0A5B"/>
    <w:rsid w:val="005D0CFE"/>
    <w:rsid w:val="005D1EFE"/>
    <w:rsid w:val="005D3AC6"/>
    <w:rsid w:val="005D60E7"/>
    <w:rsid w:val="005D6E7D"/>
    <w:rsid w:val="005D7921"/>
    <w:rsid w:val="005E0E7D"/>
    <w:rsid w:val="005E171A"/>
    <w:rsid w:val="005E2268"/>
    <w:rsid w:val="005E2FC5"/>
    <w:rsid w:val="005E42CC"/>
    <w:rsid w:val="005E5412"/>
    <w:rsid w:val="005E55E4"/>
    <w:rsid w:val="005E69F9"/>
    <w:rsid w:val="005F06AA"/>
    <w:rsid w:val="005F4495"/>
    <w:rsid w:val="005F4702"/>
    <w:rsid w:val="005F5D71"/>
    <w:rsid w:val="005F69EF"/>
    <w:rsid w:val="0060010E"/>
    <w:rsid w:val="006017A9"/>
    <w:rsid w:val="00601C91"/>
    <w:rsid w:val="00601F4B"/>
    <w:rsid w:val="0060359B"/>
    <w:rsid w:val="00603D0D"/>
    <w:rsid w:val="00604D57"/>
    <w:rsid w:val="00605011"/>
    <w:rsid w:val="006070DA"/>
    <w:rsid w:val="006075FA"/>
    <w:rsid w:val="00607922"/>
    <w:rsid w:val="00607AE8"/>
    <w:rsid w:val="0061049B"/>
    <w:rsid w:val="00612435"/>
    <w:rsid w:val="006134E2"/>
    <w:rsid w:val="006170EF"/>
    <w:rsid w:val="0061757B"/>
    <w:rsid w:val="00617991"/>
    <w:rsid w:val="00617A9A"/>
    <w:rsid w:val="0062301D"/>
    <w:rsid w:val="006263DF"/>
    <w:rsid w:val="00630535"/>
    <w:rsid w:val="00631324"/>
    <w:rsid w:val="00631530"/>
    <w:rsid w:val="00632E48"/>
    <w:rsid w:val="00632E6E"/>
    <w:rsid w:val="006366D3"/>
    <w:rsid w:val="00640E38"/>
    <w:rsid w:val="0064212C"/>
    <w:rsid w:val="006451E5"/>
    <w:rsid w:val="00647E10"/>
    <w:rsid w:val="0065003D"/>
    <w:rsid w:val="00653DC6"/>
    <w:rsid w:val="006542BE"/>
    <w:rsid w:val="006552A9"/>
    <w:rsid w:val="00655A08"/>
    <w:rsid w:val="00655B2C"/>
    <w:rsid w:val="0065612C"/>
    <w:rsid w:val="006566C1"/>
    <w:rsid w:val="006572B7"/>
    <w:rsid w:val="006613AB"/>
    <w:rsid w:val="00661ACB"/>
    <w:rsid w:val="00662394"/>
    <w:rsid w:val="00664014"/>
    <w:rsid w:val="00666FDE"/>
    <w:rsid w:val="00672332"/>
    <w:rsid w:val="00673564"/>
    <w:rsid w:val="006745EE"/>
    <w:rsid w:val="00674B71"/>
    <w:rsid w:val="0067547F"/>
    <w:rsid w:val="006755EF"/>
    <w:rsid w:val="00676379"/>
    <w:rsid w:val="00681AB9"/>
    <w:rsid w:val="00684B1B"/>
    <w:rsid w:val="00685584"/>
    <w:rsid w:val="0068692A"/>
    <w:rsid w:val="00686B96"/>
    <w:rsid w:val="006873CB"/>
    <w:rsid w:val="00690012"/>
    <w:rsid w:val="006901E3"/>
    <w:rsid w:val="006902D1"/>
    <w:rsid w:val="00690EAA"/>
    <w:rsid w:val="00693507"/>
    <w:rsid w:val="00694DC8"/>
    <w:rsid w:val="00694F49"/>
    <w:rsid w:val="006953BA"/>
    <w:rsid w:val="006977B3"/>
    <w:rsid w:val="006A0829"/>
    <w:rsid w:val="006A247C"/>
    <w:rsid w:val="006A3AA0"/>
    <w:rsid w:val="006A6445"/>
    <w:rsid w:val="006A6817"/>
    <w:rsid w:val="006A6BC5"/>
    <w:rsid w:val="006A7814"/>
    <w:rsid w:val="006A7CAE"/>
    <w:rsid w:val="006B0F64"/>
    <w:rsid w:val="006B1F54"/>
    <w:rsid w:val="006B2598"/>
    <w:rsid w:val="006B2DF6"/>
    <w:rsid w:val="006B4ED5"/>
    <w:rsid w:val="006B596C"/>
    <w:rsid w:val="006B6ADF"/>
    <w:rsid w:val="006C03D2"/>
    <w:rsid w:val="006C0565"/>
    <w:rsid w:val="006C1862"/>
    <w:rsid w:val="006C2592"/>
    <w:rsid w:val="006C2DE9"/>
    <w:rsid w:val="006C36A2"/>
    <w:rsid w:val="006C5018"/>
    <w:rsid w:val="006C644C"/>
    <w:rsid w:val="006C646A"/>
    <w:rsid w:val="006C6DCF"/>
    <w:rsid w:val="006D2801"/>
    <w:rsid w:val="006D2D45"/>
    <w:rsid w:val="006D3305"/>
    <w:rsid w:val="006D4189"/>
    <w:rsid w:val="006D4A36"/>
    <w:rsid w:val="006D786F"/>
    <w:rsid w:val="006D7B04"/>
    <w:rsid w:val="006E28B9"/>
    <w:rsid w:val="006E3C85"/>
    <w:rsid w:val="006E5922"/>
    <w:rsid w:val="006E63A1"/>
    <w:rsid w:val="006E68BE"/>
    <w:rsid w:val="006E724C"/>
    <w:rsid w:val="006F1FD6"/>
    <w:rsid w:val="006F20E8"/>
    <w:rsid w:val="006F235C"/>
    <w:rsid w:val="006F2705"/>
    <w:rsid w:val="006F286E"/>
    <w:rsid w:val="006F2DAF"/>
    <w:rsid w:val="006F6193"/>
    <w:rsid w:val="006F67D2"/>
    <w:rsid w:val="006F6B5C"/>
    <w:rsid w:val="00701454"/>
    <w:rsid w:val="00701AC1"/>
    <w:rsid w:val="0070212D"/>
    <w:rsid w:val="007031E6"/>
    <w:rsid w:val="00703EF1"/>
    <w:rsid w:val="007046F7"/>
    <w:rsid w:val="00704853"/>
    <w:rsid w:val="00704D2A"/>
    <w:rsid w:val="00706387"/>
    <w:rsid w:val="0070688C"/>
    <w:rsid w:val="00706E21"/>
    <w:rsid w:val="00707BAB"/>
    <w:rsid w:val="00710AD3"/>
    <w:rsid w:val="00710D23"/>
    <w:rsid w:val="007117E4"/>
    <w:rsid w:val="00715632"/>
    <w:rsid w:val="007159E0"/>
    <w:rsid w:val="00716D68"/>
    <w:rsid w:val="007175EC"/>
    <w:rsid w:val="00720487"/>
    <w:rsid w:val="007208AA"/>
    <w:rsid w:val="00720C9B"/>
    <w:rsid w:val="00721CFB"/>
    <w:rsid w:val="00722134"/>
    <w:rsid w:val="007250BE"/>
    <w:rsid w:val="0072529A"/>
    <w:rsid w:val="00725909"/>
    <w:rsid w:val="00727A00"/>
    <w:rsid w:val="00730104"/>
    <w:rsid w:val="0073145F"/>
    <w:rsid w:val="00731BB6"/>
    <w:rsid w:val="00732472"/>
    <w:rsid w:val="00732B6C"/>
    <w:rsid w:val="00732B7B"/>
    <w:rsid w:val="007343BC"/>
    <w:rsid w:val="00734B09"/>
    <w:rsid w:val="00737736"/>
    <w:rsid w:val="00737836"/>
    <w:rsid w:val="0074019F"/>
    <w:rsid w:val="0074143A"/>
    <w:rsid w:val="0074173C"/>
    <w:rsid w:val="00741FCD"/>
    <w:rsid w:val="00742ABA"/>
    <w:rsid w:val="00743027"/>
    <w:rsid w:val="007439BC"/>
    <w:rsid w:val="00744F7C"/>
    <w:rsid w:val="007455E3"/>
    <w:rsid w:val="00745B27"/>
    <w:rsid w:val="00745DC2"/>
    <w:rsid w:val="007463D0"/>
    <w:rsid w:val="007465E3"/>
    <w:rsid w:val="007466CA"/>
    <w:rsid w:val="00751845"/>
    <w:rsid w:val="00751A31"/>
    <w:rsid w:val="00751F75"/>
    <w:rsid w:val="00755C15"/>
    <w:rsid w:val="007563D4"/>
    <w:rsid w:val="007579C9"/>
    <w:rsid w:val="00757D96"/>
    <w:rsid w:val="007633F7"/>
    <w:rsid w:val="0076376E"/>
    <w:rsid w:val="007645CD"/>
    <w:rsid w:val="00766684"/>
    <w:rsid w:val="00766C18"/>
    <w:rsid w:val="007671E3"/>
    <w:rsid w:val="00771A0C"/>
    <w:rsid w:val="00771EDD"/>
    <w:rsid w:val="00773158"/>
    <w:rsid w:val="00773312"/>
    <w:rsid w:val="00773D53"/>
    <w:rsid w:val="0077429B"/>
    <w:rsid w:val="00774FD5"/>
    <w:rsid w:val="007751D0"/>
    <w:rsid w:val="00777022"/>
    <w:rsid w:val="00782033"/>
    <w:rsid w:val="00784837"/>
    <w:rsid w:val="0078657C"/>
    <w:rsid w:val="007870B2"/>
    <w:rsid w:val="007874C7"/>
    <w:rsid w:val="0079068C"/>
    <w:rsid w:val="00790E91"/>
    <w:rsid w:val="007911DF"/>
    <w:rsid w:val="00793257"/>
    <w:rsid w:val="00794638"/>
    <w:rsid w:val="00794D67"/>
    <w:rsid w:val="00794F77"/>
    <w:rsid w:val="00795F04"/>
    <w:rsid w:val="0079742B"/>
    <w:rsid w:val="0079745D"/>
    <w:rsid w:val="0079780F"/>
    <w:rsid w:val="007979AD"/>
    <w:rsid w:val="007A2008"/>
    <w:rsid w:val="007A2126"/>
    <w:rsid w:val="007A236C"/>
    <w:rsid w:val="007A2480"/>
    <w:rsid w:val="007A2F2C"/>
    <w:rsid w:val="007A3722"/>
    <w:rsid w:val="007A3E9B"/>
    <w:rsid w:val="007A5FBE"/>
    <w:rsid w:val="007B1158"/>
    <w:rsid w:val="007B138A"/>
    <w:rsid w:val="007B2744"/>
    <w:rsid w:val="007B29A0"/>
    <w:rsid w:val="007B2DA4"/>
    <w:rsid w:val="007B4D6A"/>
    <w:rsid w:val="007B5927"/>
    <w:rsid w:val="007B7DD7"/>
    <w:rsid w:val="007B7F04"/>
    <w:rsid w:val="007C08C9"/>
    <w:rsid w:val="007C0F2D"/>
    <w:rsid w:val="007C0F3E"/>
    <w:rsid w:val="007C2450"/>
    <w:rsid w:val="007C25D3"/>
    <w:rsid w:val="007C3998"/>
    <w:rsid w:val="007C3E1C"/>
    <w:rsid w:val="007C73AB"/>
    <w:rsid w:val="007D0828"/>
    <w:rsid w:val="007D3135"/>
    <w:rsid w:val="007D331B"/>
    <w:rsid w:val="007D4D11"/>
    <w:rsid w:val="007D6BFC"/>
    <w:rsid w:val="007E126A"/>
    <w:rsid w:val="007E2312"/>
    <w:rsid w:val="007E312A"/>
    <w:rsid w:val="007E5FEA"/>
    <w:rsid w:val="007E6371"/>
    <w:rsid w:val="007E66CA"/>
    <w:rsid w:val="007E6E23"/>
    <w:rsid w:val="007E737B"/>
    <w:rsid w:val="007F0E0A"/>
    <w:rsid w:val="007F20CA"/>
    <w:rsid w:val="007F4008"/>
    <w:rsid w:val="007F4DA0"/>
    <w:rsid w:val="007F5202"/>
    <w:rsid w:val="00800BA5"/>
    <w:rsid w:val="008021F0"/>
    <w:rsid w:val="00802A77"/>
    <w:rsid w:val="00802DC8"/>
    <w:rsid w:val="00802E8C"/>
    <w:rsid w:val="00804368"/>
    <w:rsid w:val="00805028"/>
    <w:rsid w:val="00805CD6"/>
    <w:rsid w:val="008067D2"/>
    <w:rsid w:val="00807531"/>
    <w:rsid w:val="008110A9"/>
    <w:rsid w:val="0081380E"/>
    <w:rsid w:val="008156BB"/>
    <w:rsid w:val="00817E1E"/>
    <w:rsid w:val="008217B8"/>
    <w:rsid w:val="00822239"/>
    <w:rsid w:val="00826A79"/>
    <w:rsid w:val="00826ABF"/>
    <w:rsid w:val="00830A25"/>
    <w:rsid w:val="00830BEE"/>
    <w:rsid w:val="00831103"/>
    <w:rsid w:val="0083188B"/>
    <w:rsid w:val="0083251E"/>
    <w:rsid w:val="00835052"/>
    <w:rsid w:val="00836151"/>
    <w:rsid w:val="0083687A"/>
    <w:rsid w:val="00836EC6"/>
    <w:rsid w:val="00837A9F"/>
    <w:rsid w:val="00840322"/>
    <w:rsid w:val="00840D3C"/>
    <w:rsid w:val="00840E21"/>
    <w:rsid w:val="008419A6"/>
    <w:rsid w:val="00841B3E"/>
    <w:rsid w:val="00842377"/>
    <w:rsid w:val="00843EF1"/>
    <w:rsid w:val="00843FAA"/>
    <w:rsid w:val="00844651"/>
    <w:rsid w:val="008451B6"/>
    <w:rsid w:val="008458E8"/>
    <w:rsid w:val="008503E8"/>
    <w:rsid w:val="008506BE"/>
    <w:rsid w:val="0085145B"/>
    <w:rsid w:val="0085275D"/>
    <w:rsid w:val="0085293E"/>
    <w:rsid w:val="008535E4"/>
    <w:rsid w:val="008544EC"/>
    <w:rsid w:val="00854E7B"/>
    <w:rsid w:val="00856767"/>
    <w:rsid w:val="00857687"/>
    <w:rsid w:val="0086131D"/>
    <w:rsid w:val="00862475"/>
    <w:rsid w:val="00863F2D"/>
    <w:rsid w:val="00863F30"/>
    <w:rsid w:val="00864E48"/>
    <w:rsid w:val="00866240"/>
    <w:rsid w:val="00867579"/>
    <w:rsid w:val="00870175"/>
    <w:rsid w:val="0087564C"/>
    <w:rsid w:val="0087759F"/>
    <w:rsid w:val="00877A51"/>
    <w:rsid w:val="00880024"/>
    <w:rsid w:val="00880FAE"/>
    <w:rsid w:val="008817BE"/>
    <w:rsid w:val="008836D7"/>
    <w:rsid w:val="00884779"/>
    <w:rsid w:val="00885062"/>
    <w:rsid w:val="00885F27"/>
    <w:rsid w:val="00886D1B"/>
    <w:rsid w:val="008876DB"/>
    <w:rsid w:val="008911B3"/>
    <w:rsid w:val="008920EC"/>
    <w:rsid w:val="008920F3"/>
    <w:rsid w:val="008922B4"/>
    <w:rsid w:val="00892A35"/>
    <w:rsid w:val="00893D38"/>
    <w:rsid w:val="00893EEB"/>
    <w:rsid w:val="00894A01"/>
    <w:rsid w:val="008A16E5"/>
    <w:rsid w:val="008A1701"/>
    <w:rsid w:val="008A2042"/>
    <w:rsid w:val="008A35EF"/>
    <w:rsid w:val="008A42BE"/>
    <w:rsid w:val="008A4B30"/>
    <w:rsid w:val="008A5064"/>
    <w:rsid w:val="008A68BF"/>
    <w:rsid w:val="008A6BBE"/>
    <w:rsid w:val="008B1057"/>
    <w:rsid w:val="008B13FB"/>
    <w:rsid w:val="008B14B1"/>
    <w:rsid w:val="008B2D80"/>
    <w:rsid w:val="008B3531"/>
    <w:rsid w:val="008B523B"/>
    <w:rsid w:val="008B5408"/>
    <w:rsid w:val="008B5590"/>
    <w:rsid w:val="008B56AC"/>
    <w:rsid w:val="008B750A"/>
    <w:rsid w:val="008B79CC"/>
    <w:rsid w:val="008C0026"/>
    <w:rsid w:val="008C040B"/>
    <w:rsid w:val="008C1092"/>
    <w:rsid w:val="008C17D5"/>
    <w:rsid w:val="008C4B85"/>
    <w:rsid w:val="008C55AC"/>
    <w:rsid w:val="008C600D"/>
    <w:rsid w:val="008D1498"/>
    <w:rsid w:val="008D21F5"/>
    <w:rsid w:val="008D4439"/>
    <w:rsid w:val="008D572F"/>
    <w:rsid w:val="008D6248"/>
    <w:rsid w:val="008E4493"/>
    <w:rsid w:val="008E4CFF"/>
    <w:rsid w:val="008E5FD3"/>
    <w:rsid w:val="008E6B01"/>
    <w:rsid w:val="008E7186"/>
    <w:rsid w:val="008F032B"/>
    <w:rsid w:val="008F07AB"/>
    <w:rsid w:val="008F286C"/>
    <w:rsid w:val="008F3E9B"/>
    <w:rsid w:val="008F4CFA"/>
    <w:rsid w:val="008F4E9B"/>
    <w:rsid w:val="008F4F7A"/>
    <w:rsid w:val="008F5016"/>
    <w:rsid w:val="008F7A52"/>
    <w:rsid w:val="008F7E2A"/>
    <w:rsid w:val="00900494"/>
    <w:rsid w:val="0090218C"/>
    <w:rsid w:val="0090264A"/>
    <w:rsid w:val="009043F6"/>
    <w:rsid w:val="0090468F"/>
    <w:rsid w:val="0090633E"/>
    <w:rsid w:val="0090641C"/>
    <w:rsid w:val="009065E0"/>
    <w:rsid w:val="00906C0E"/>
    <w:rsid w:val="0091041E"/>
    <w:rsid w:val="009120A4"/>
    <w:rsid w:val="009126E2"/>
    <w:rsid w:val="00912B11"/>
    <w:rsid w:val="009147C8"/>
    <w:rsid w:val="0091597D"/>
    <w:rsid w:val="00917EE5"/>
    <w:rsid w:val="00920295"/>
    <w:rsid w:val="009208CB"/>
    <w:rsid w:val="009217BD"/>
    <w:rsid w:val="0092372F"/>
    <w:rsid w:val="009246C1"/>
    <w:rsid w:val="00924C16"/>
    <w:rsid w:val="00924D3E"/>
    <w:rsid w:val="009255C1"/>
    <w:rsid w:val="009269CA"/>
    <w:rsid w:val="00927B26"/>
    <w:rsid w:val="0093451B"/>
    <w:rsid w:val="00934907"/>
    <w:rsid w:val="00935529"/>
    <w:rsid w:val="00936B49"/>
    <w:rsid w:val="00936FF7"/>
    <w:rsid w:val="009372C2"/>
    <w:rsid w:val="00940DD2"/>
    <w:rsid w:val="00940DD4"/>
    <w:rsid w:val="0094310D"/>
    <w:rsid w:val="00945509"/>
    <w:rsid w:val="00945613"/>
    <w:rsid w:val="00947928"/>
    <w:rsid w:val="0095091C"/>
    <w:rsid w:val="0095216F"/>
    <w:rsid w:val="00952593"/>
    <w:rsid w:val="00953572"/>
    <w:rsid w:val="009538CA"/>
    <w:rsid w:val="00953BEF"/>
    <w:rsid w:val="00955311"/>
    <w:rsid w:val="00956F4B"/>
    <w:rsid w:val="00957FC3"/>
    <w:rsid w:val="00963911"/>
    <w:rsid w:val="00965781"/>
    <w:rsid w:val="009658ED"/>
    <w:rsid w:val="00966ACE"/>
    <w:rsid w:val="00966D3B"/>
    <w:rsid w:val="009710F9"/>
    <w:rsid w:val="00971D2D"/>
    <w:rsid w:val="0097274F"/>
    <w:rsid w:val="0097305D"/>
    <w:rsid w:val="00973637"/>
    <w:rsid w:val="00974207"/>
    <w:rsid w:val="0097660F"/>
    <w:rsid w:val="00976989"/>
    <w:rsid w:val="00980B1D"/>
    <w:rsid w:val="0098236D"/>
    <w:rsid w:val="00983AA9"/>
    <w:rsid w:val="009842E7"/>
    <w:rsid w:val="0098485F"/>
    <w:rsid w:val="0098543B"/>
    <w:rsid w:val="00986E53"/>
    <w:rsid w:val="00987668"/>
    <w:rsid w:val="009905A4"/>
    <w:rsid w:val="009907E6"/>
    <w:rsid w:val="00991216"/>
    <w:rsid w:val="009918AB"/>
    <w:rsid w:val="00991F51"/>
    <w:rsid w:val="009933C1"/>
    <w:rsid w:val="009933D1"/>
    <w:rsid w:val="00993619"/>
    <w:rsid w:val="00995DC1"/>
    <w:rsid w:val="009969F6"/>
    <w:rsid w:val="0099756D"/>
    <w:rsid w:val="009A2169"/>
    <w:rsid w:val="009A36FE"/>
    <w:rsid w:val="009A468E"/>
    <w:rsid w:val="009A48CD"/>
    <w:rsid w:val="009A579E"/>
    <w:rsid w:val="009A73DB"/>
    <w:rsid w:val="009B111E"/>
    <w:rsid w:val="009B237B"/>
    <w:rsid w:val="009B2B34"/>
    <w:rsid w:val="009B58FF"/>
    <w:rsid w:val="009B601D"/>
    <w:rsid w:val="009B7AB9"/>
    <w:rsid w:val="009C1577"/>
    <w:rsid w:val="009C1D90"/>
    <w:rsid w:val="009C272C"/>
    <w:rsid w:val="009C4418"/>
    <w:rsid w:val="009C752B"/>
    <w:rsid w:val="009D0EA2"/>
    <w:rsid w:val="009D1286"/>
    <w:rsid w:val="009D16B7"/>
    <w:rsid w:val="009D2C83"/>
    <w:rsid w:val="009D2E7B"/>
    <w:rsid w:val="009D3809"/>
    <w:rsid w:val="009D4B8D"/>
    <w:rsid w:val="009D6D5A"/>
    <w:rsid w:val="009D7FB5"/>
    <w:rsid w:val="009E0012"/>
    <w:rsid w:val="009E0CF7"/>
    <w:rsid w:val="009E1564"/>
    <w:rsid w:val="009E226B"/>
    <w:rsid w:val="009E2D65"/>
    <w:rsid w:val="009E396D"/>
    <w:rsid w:val="009E40B6"/>
    <w:rsid w:val="009E46EA"/>
    <w:rsid w:val="009E51B4"/>
    <w:rsid w:val="009F1AB1"/>
    <w:rsid w:val="009F3274"/>
    <w:rsid w:val="009F5CC8"/>
    <w:rsid w:val="009F73B9"/>
    <w:rsid w:val="00A002C0"/>
    <w:rsid w:val="00A0070A"/>
    <w:rsid w:val="00A0136F"/>
    <w:rsid w:val="00A02F8F"/>
    <w:rsid w:val="00A053B6"/>
    <w:rsid w:val="00A069D1"/>
    <w:rsid w:val="00A07A7A"/>
    <w:rsid w:val="00A07C05"/>
    <w:rsid w:val="00A10B03"/>
    <w:rsid w:val="00A11523"/>
    <w:rsid w:val="00A11AD0"/>
    <w:rsid w:val="00A124A9"/>
    <w:rsid w:val="00A12958"/>
    <w:rsid w:val="00A1296B"/>
    <w:rsid w:val="00A16AE7"/>
    <w:rsid w:val="00A20AB7"/>
    <w:rsid w:val="00A24254"/>
    <w:rsid w:val="00A24365"/>
    <w:rsid w:val="00A24796"/>
    <w:rsid w:val="00A247F0"/>
    <w:rsid w:val="00A24C1B"/>
    <w:rsid w:val="00A2649D"/>
    <w:rsid w:val="00A31FAD"/>
    <w:rsid w:val="00A32744"/>
    <w:rsid w:val="00A3314A"/>
    <w:rsid w:val="00A337FC"/>
    <w:rsid w:val="00A3440E"/>
    <w:rsid w:val="00A35F25"/>
    <w:rsid w:val="00A40571"/>
    <w:rsid w:val="00A407F1"/>
    <w:rsid w:val="00A42313"/>
    <w:rsid w:val="00A44BC9"/>
    <w:rsid w:val="00A47817"/>
    <w:rsid w:val="00A50448"/>
    <w:rsid w:val="00A513A1"/>
    <w:rsid w:val="00A51D87"/>
    <w:rsid w:val="00A565E9"/>
    <w:rsid w:val="00A57C0A"/>
    <w:rsid w:val="00A57F72"/>
    <w:rsid w:val="00A60D71"/>
    <w:rsid w:val="00A61935"/>
    <w:rsid w:val="00A62EBE"/>
    <w:rsid w:val="00A6428A"/>
    <w:rsid w:val="00A6432F"/>
    <w:rsid w:val="00A64F1B"/>
    <w:rsid w:val="00A651CC"/>
    <w:rsid w:val="00A65C0F"/>
    <w:rsid w:val="00A65DA1"/>
    <w:rsid w:val="00A67D7A"/>
    <w:rsid w:val="00A70268"/>
    <w:rsid w:val="00A72129"/>
    <w:rsid w:val="00A72DDA"/>
    <w:rsid w:val="00A73BC6"/>
    <w:rsid w:val="00A73C50"/>
    <w:rsid w:val="00A741F6"/>
    <w:rsid w:val="00A75377"/>
    <w:rsid w:val="00A7689C"/>
    <w:rsid w:val="00A7726B"/>
    <w:rsid w:val="00A77D91"/>
    <w:rsid w:val="00A807D1"/>
    <w:rsid w:val="00A8293B"/>
    <w:rsid w:val="00A83298"/>
    <w:rsid w:val="00A83563"/>
    <w:rsid w:val="00A83F10"/>
    <w:rsid w:val="00A84A00"/>
    <w:rsid w:val="00A85711"/>
    <w:rsid w:val="00A90319"/>
    <w:rsid w:val="00A91470"/>
    <w:rsid w:val="00A91BFB"/>
    <w:rsid w:val="00A92023"/>
    <w:rsid w:val="00A92D79"/>
    <w:rsid w:val="00A936DA"/>
    <w:rsid w:val="00A94DD0"/>
    <w:rsid w:val="00A95BFC"/>
    <w:rsid w:val="00A95C72"/>
    <w:rsid w:val="00A963DA"/>
    <w:rsid w:val="00A97168"/>
    <w:rsid w:val="00AA009E"/>
    <w:rsid w:val="00AA0370"/>
    <w:rsid w:val="00AA0D0D"/>
    <w:rsid w:val="00AA2785"/>
    <w:rsid w:val="00AA2BAA"/>
    <w:rsid w:val="00AA3754"/>
    <w:rsid w:val="00AA3B8F"/>
    <w:rsid w:val="00AA59F9"/>
    <w:rsid w:val="00AA72C7"/>
    <w:rsid w:val="00AB234D"/>
    <w:rsid w:val="00AB361E"/>
    <w:rsid w:val="00AB3ED1"/>
    <w:rsid w:val="00AB4929"/>
    <w:rsid w:val="00AB535B"/>
    <w:rsid w:val="00AB55DC"/>
    <w:rsid w:val="00AB5939"/>
    <w:rsid w:val="00AB6D09"/>
    <w:rsid w:val="00AC0BFD"/>
    <w:rsid w:val="00AC1273"/>
    <w:rsid w:val="00AC284C"/>
    <w:rsid w:val="00AC2DB7"/>
    <w:rsid w:val="00AC3A85"/>
    <w:rsid w:val="00AD0AD1"/>
    <w:rsid w:val="00AD23E6"/>
    <w:rsid w:val="00AD4380"/>
    <w:rsid w:val="00AD50AD"/>
    <w:rsid w:val="00AD59CF"/>
    <w:rsid w:val="00AD67D4"/>
    <w:rsid w:val="00AD73FB"/>
    <w:rsid w:val="00AE01F8"/>
    <w:rsid w:val="00AE0BD3"/>
    <w:rsid w:val="00AE1C81"/>
    <w:rsid w:val="00AE2482"/>
    <w:rsid w:val="00AE29BC"/>
    <w:rsid w:val="00AE2C35"/>
    <w:rsid w:val="00AE3097"/>
    <w:rsid w:val="00AE3511"/>
    <w:rsid w:val="00AE3A7F"/>
    <w:rsid w:val="00AE64AE"/>
    <w:rsid w:val="00AE7441"/>
    <w:rsid w:val="00AF0C3C"/>
    <w:rsid w:val="00AF1659"/>
    <w:rsid w:val="00AF1981"/>
    <w:rsid w:val="00AF1DD5"/>
    <w:rsid w:val="00AF1E81"/>
    <w:rsid w:val="00AF2AD4"/>
    <w:rsid w:val="00AF3E98"/>
    <w:rsid w:val="00AF4975"/>
    <w:rsid w:val="00AF5FA3"/>
    <w:rsid w:val="00AF68D2"/>
    <w:rsid w:val="00B04600"/>
    <w:rsid w:val="00B05D47"/>
    <w:rsid w:val="00B065ED"/>
    <w:rsid w:val="00B069F7"/>
    <w:rsid w:val="00B07063"/>
    <w:rsid w:val="00B07561"/>
    <w:rsid w:val="00B07B42"/>
    <w:rsid w:val="00B07ED7"/>
    <w:rsid w:val="00B10512"/>
    <w:rsid w:val="00B11E0F"/>
    <w:rsid w:val="00B13C9A"/>
    <w:rsid w:val="00B160FA"/>
    <w:rsid w:val="00B16578"/>
    <w:rsid w:val="00B1668A"/>
    <w:rsid w:val="00B1669C"/>
    <w:rsid w:val="00B16ECE"/>
    <w:rsid w:val="00B200CB"/>
    <w:rsid w:val="00B21CC7"/>
    <w:rsid w:val="00B21D2E"/>
    <w:rsid w:val="00B24231"/>
    <w:rsid w:val="00B242F4"/>
    <w:rsid w:val="00B26ACD"/>
    <w:rsid w:val="00B26E9E"/>
    <w:rsid w:val="00B2732A"/>
    <w:rsid w:val="00B279C5"/>
    <w:rsid w:val="00B27A81"/>
    <w:rsid w:val="00B30560"/>
    <w:rsid w:val="00B32D21"/>
    <w:rsid w:val="00B3309B"/>
    <w:rsid w:val="00B36552"/>
    <w:rsid w:val="00B36A62"/>
    <w:rsid w:val="00B402F8"/>
    <w:rsid w:val="00B40CF2"/>
    <w:rsid w:val="00B425FC"/>
    <w:rsid w:val="00B435E4"/>
    <w:rsid w:val="00B43D16"/>
    <w:rsid w:val="00B43F62"/>
    <w:rsid w:val="00B443BE"/>
    <w:rsid w:val="00B44B8E"/>
    <w:rsid w:val="00B45135"/>
    <w:rsid w:val="00B45861"/>
    <w:rsid w:val="00B460D4"/>
    <w:rsid w:val="00B46C89"/>
    <w:rsid w:val="00B47D4D"/>
    <w:rsid w:val="00B47F3C"/>
    <w:rsid w:val="00B515AA"/>
    <w:rsid w:val="00B51901"/>
    <w:rsid w:val="00B51DA8"/>
    <w:rsid w:val="00B52490"/>
    <w:rsid w:val="00B55ABB"/>
    <w:rsid w:val="00B563D4"/>
    <w:rsid w:val="00B56838"/>
    <w:rsid w:val="00B6055D"/>
    <w:rsid w:val="00B6056F"/>
    <w:rsid w:val="00B60DED"/>
    <w:rsid w:val="00B628C7"/>
    <w:rsid w:val="00B64499"/>
    <w:rsid w:val="00B64557"/>
    <w:rsid w:val="00B65573"/>
    <w:rsid w:val="00B67967"/>
    <w:rsid w:val="00B71665"/>
    <w:rsid w:val="00B72236"/>
    <w:rsid w:val="00B72770"/>
    <w:rsid w:val="00B72BF5"/>
    <w:rsid w:val="00B7464F"/>
    <w:rsid w:val="00B7465A"/>
    <w:rsid w:val="00B762D9"/>
    <w:rsid w:val="00B7646E"/>
    <w:rsid w:val="00B805D2"/>
    <w:rsid w:val="00B8155D"/>
    <w:rsid w:val="00B834D5"/>
    <w:rsid w:val="00B84393"/>
    <w:rsid w:val="00B86375"/>
    <w:rsid w:val="00B879E0"/>
    <w:rsid w:val="00B87FC1"/>
    <w:rsid w:val="00B900D3"/>
    <w:rsid w:val="00B906D6"/>
    <w:rsid w:val="00B90A16"/>
    <w:rsid w:val="00B91E15"/>
    <w:rsid w:val="00B951EC"/>
    <w:rsid w:val="00B9597F"/>
    <w:rsid w:val="00B96529"/>
    <w:rsid w:val="00BA0ED8"/>
    <w:rsid w:val="00BA2171"/>
    <w:rsid w:val="00BA226B"/>
    <w:rsid w:val="00BA3022"/>
    <w:rsid w:val="00BA4378"/>
    <w:rsid w:val="00BA459A"/>
    <w:rsid w:val="00BA5195"/>
    <w:rsid w:val="00BA5B22"/>
    <w:rsid w:val="00BA5BDD"/>
    <w:rsid w:val="00BA6067"/>
    <w:rsid w:val="00BA7914"/>
    <w:rsid w:val="00BA7A57"/>
    <w:rsid w:val="00BB0C2F"/>
    <w:rsid w:val="00BB3213"/>
    <w:rsid w:val="00BB5CF7"/>
    <w:rsid w:val="00BB5E88"/>
    <w:rsid w:val="00BC237B"/>
    <w:rsid w:val="00BC28C5"/>
    <w:rsid w:val="00BC4838"/>
    <w:rsid w:val="00BC4BEA"/>
    <w:rsid w:val="00BC4CD3"/>
    <w:rsid w:val="00BC4E77"/>
    <w:rsid w:val="00BC5D53"/>
    <w:rsid w:val="00BC62EB"/>
    <w:rsid w:val="00BC6391"/>
    <w:rsid w:val="00BC66E9"/>
    <w:rsid w:val="00BC6751"/>
    <w:rsid w:val="00BC6AE7"/>
    <w:rsid w:val="00BC6FCC"/>
    <w:rsid w:val="00BC7B7E"/>
    <w:rsid w:val="00BD0F36"/>
    <w:rsid w:val="00BD209E"/>
    <w:rsid w:val="00BD2703"/>
    <w:rsid w:val="00BD367C"/>
    <w:rsid w:val="00BD4435"/>
    <w:rsid w:val="00BD6304"/>
    <w:rsid w:val="00BD7621"/>
    <w:rsid w:val="00BD78A0"/>
    <w:rsid w:val="00BD7BC1"/>
    <w:rsid w:val="00BE08FE"/>
    <w:rsid w:val="00BE114D"/>
    <w:rsid w:val="00BE1D37"/>
    <w:rsid w:val="00BE4469"/>
    <w:rsid w:val="00BE6282"/>
    <w:rsid w:val="00BE68A6"/>
    <w:rsid w:val="00BE6ADE"/>
    <w:rsid w:val="00BE7CED"/>
    <w:rsid w:val="00BF0B02"/>
    <w:rsid w:val="00BF53B6"/>
    <w:rsid w:val="00BF5C62"/>
    <w:rsid w:val="00C0659F"/>
    <w:rsid w:val="00C06EDB"/>
    <w:rsid w:val="00C1259C"/>
    <w:rsid w:val="00C13DB6"/>
    <w:rsid w:val="00C1542D"/>
    <w:rsid w:val="00C15D16"/>
    <w:rsid w:val="00C16AB0"/>
    <w:rsid w:val="00C20DA8"/>
    <w:rsid w:val="00C20DD0"/>
    <w:rsid w:val="00C23289"/>
    <w:rsid w:val="00C23438"/>
    <w:rsid w:val="00C23802"/>
    <w:rsid w:val="00C2494C"/>
    <w:rsid w:val="00C25C17"/>
    <w:rsid w:val="00C25F2D"/>
    <w:rsid w:val="00C269C6"/>
    <w:rsid w:val="00C27715"/>
    <w:rsid w:val="00C312F5"/>
    <w:rsid w:val="00C31CFE"/>
    <w:rsid w:val="00C31EB3"/>
    <w:rsid w:val="00C338B7"/>
    <w:rsid w:val="00C34510"/>
    <w:rsid w:val="00C357FC"/>
    <w:rsid w:val="00C35BF9"/>
    <w:rsid w:val="00C41A6E"/>
    <w:rsid w:val="00C41EEB"/>
    <w:rsid w:val="00C456F8"/>
    <w:rsid w:val="00C45F12"/>
    <w:rsid w:val="00C50599"/>
    <w:rsid w:val="00C50D01"/>
    <w:rsid w:val="00C5145B"/>
    <w:rsid w:val="00C52495"/>
    <w:rsid w:val="00C52709"/>
    <w:rsid w:val="00C5394D"/>
    <w:rsid w:val="00C53B4B"/>
    <w:rsid w:val="00C53B70"/>
    <w:rsid w:val="00C53E2E"/>
    <w:rsid w:val="00C545C7"/>
    <w:rsid w:val="00C54AD1"/>
    <w:rsid w:val="00C54FCB"/>
    <w:rsid w:val="00C55193"/>
    <w:rsid w:val="00C5535D"/>
    <w:rsid w:val="00C55B76"/>
    <w:rsid w:val="00C564B4"/>
    <w:rsid w:val="00C567DA"/>
    <w:rsid w:val="00C578C6"/>
    <w:rsid w:val="00C6289A"/>
    <w:rsid w:val="00C62DF9"/>
    <w:rsid w:val="00C63387"/>
    <w:rsid w:val="00C63A59"/>
    <w:rsid w:val="00C63C76"/>
    <w:rsid w:val="00C654B5"/>
    <w:rsid w:val="00C65E17"/>
    <w:rsid w:val="00C66425"/>
    <w:rsid w:val="00C66FC3"/>
    <w:rsid w:val="00C6788D"/>
    <w:rsid w:val="00C67F04"/>
    <w:rsid w:val="00C70FD5"/>
    <w:rsid w:val="00C719B5"/>
    <w:rsid w:val="00C73115"/>
    <w:rsid w:val="00C74F50"/>
    <w:rsid w:val="00C8048F"/>
    <w:rsid w:val="00C80D55"/>
    <w:rsid w:val="00C80EC6"/>
    <w:rsid w:val="00C81C6F"/>
    <w:rsid w:val="00C826A8"/>
    <w:rsid w:val="00C8414A"/>
    <w:rsid w:val="00C86FC6"/>
    <w:rsid w:val="00C87A90"/>
    <w:rsid w:val="00C9077B"/>
    <w:rsid w:val="00C9078B"/>
    <w:rsid w:val="00C93869"/>
    <w:rsid w:val="00C939E9"/>
    <w:rsid w:val="00C93A6C"/>
    <w:rsid w:val="00C93E1A"/>
    <w:rsid w:val="00C948BA"/>
    <w:rsid w:val="00C95077"/>
    <w:rsid w:val="00C9611B"/>
    <w:rsid w:val="00CA0B08"/>
    <w:rsid w:val="00CA0E12"/>
    <w:rsid w:val="00CA10A1"/>
    <w:rsid w:val="00CA17BF"/>
    <w:rsid w:val="00CA1BB1"/>
    <w:rsid w:val="00CA2714"/>
    <w:rsid w:val="00CA486C"/>
    <w:rsid w:val="00CA4B9E"/>
    <w:rsid w:val="00CA4E0E"/>
    <w:rsid w:val="00CA78A6"/>
    <w:rsid w:val="00CA7CA4"/>
    <w:rsid w:val="00CB0964"/>
    <w:rsid w:val="00CB1039"/>
    <w:rsid w:val="00CB12DB"/>
    <w:rsid w:val="00CB61F0"/>
    <w:rsid w:val="00CC086A"/>
    <w:rsid w:val="00CC3B64"/>
    <w:rsid w:val="00CC3B71"/>
    <w:rsid w:val="00CC4752"/>
    <w:rsid w:val="00CC4E10"/>
    <w:rsid w:val="00CC5454"/>
    <w:rsid w:val="00CC5C05"/>
    <w:rsid w:val="00CC6A1E"/>
    <w:rsid w:val="00CC6C01"/>
    <w:rsid w:val="00CC7D95"/>
    <w:rsid w:val="00CD050F"/>
    <w:rsid w:val="00CD12E7"/>
    <w:rsid w:val="00CD13AC"/>
    <w:rsid w:val="00CD179C"/>
    <w:rsid w:val="00CD2047"/>
    <w:rsid w:val="00CD20B5"/>
    <w:rsid w:val="00CD6225"/>
    <w:rsid w:val="00CD6E33"/>
    <w:rsid w:val="00CD71AE"/>
    <w:rsid w:val="00CD7350"/>
    <w:rsid w:val="00CE0421"/>
    <w:rsid w:val="00CE1E4E"/>
    <w:rsid w:val="00CE1F53"/>
    <w:rsid w:val="00CE25F7"/>
    <w:rsid w:val="00CE2624"/>
    <w:rsid w:val="00CE2AE6"/>
    <w:rsid w:val="00CE5920"/>
    <w:rsid w:val="00CE6F06"/>
    <w:rsid w:val="00CF01F9"/>
    <w:rsid w:val="00CF2B65"/>
    <w:rsid w:val="00CF3A2D"/>
    <w:rsid w:val="00CF5A3B"/>
    <w:rsid w:val="00CF797F"/>
    <w:rsid w:val="00D00869"/>
    <w:rsid w:val="00D00E8E"/>
    <w:rsid w:val="00D01DE8"/>
    <w:rsid w:val="00D02567"/>
    <w:rsid w:val="00D04F56"/>
    <w:rsid w:val="00D0556C"/>
    <w:rsid w:val="00D05C6B"/>
    <w:rsid w:val="00D05D57"/>
    <w:rsid w:val="00D05F07"/>
    <w:rsid w:val="00D06189"/>
    <w:rsid w:val="00D07A92"/>
    <w:rsid w:val="00D1152A"/>
    <w:rsid w:val="00D1297D"/>
    <w:rsid w:val="00D12DFF"/>
    <w:rsid w:val="00D14ED1"/>
    <w:rsid w:val="00D163CF"/>
    <w:rsid w:val="00D16FCA"/>
    <w:rsid w:val="00D178BD"/>
    <w:rsid w:val="00D17C5F"/>
    <w:rsid w:val="00D20244"/>
    <w:rsid w:val="00D2045F"/>
    <w:rsid w:val="00D20E56"/>
    <w:rsid w:val="00D21555"/>
    <w:rsid w:val="00D2170E"/>
    <w:rsid w:val="00D2240D"/>
    <w:rsid w:val="00D22432"/>
    <w:rsid w:val="00D22E45"/>
    <w:rsid w:val="00D24D63"/>
    <w:rsid w:val="00D24F58"/>
    <w:rsid w:val="00D25CE4"/>
    <w:rsid w:val="00D26728"/>
    <w:rsid w:val="00D2713A"/>
    <w:rsid w:val="00D307F5"/>
    <w:rsid w:val="00D31F10"/>
    <w:rsid w:val="00D326DA"/>
    <w:rsid w:val="00D336F0"/>
    <w:rsid w:val="00D341B2"/>
    <w:rsid w:val="00D360D1"/>
    <w:rsid w:val="00D4186A"/>
    <w:rsid w:val="00D41D95"/>
    <w:rsid w:val="00D42743"/>
    <w:rsid w:val="00D42BCC"/>
    <w:rsid w:val="00D42E6B"/>
    <w:rsid w:val="00D433F1"/>
    <w:rsid w:val="00D44005"/>
    <w:rsid w:val="00D45D9A"/>
    <w:rsid w:val="00D4617B"/>
    <w:rsid w:val="00D46A0C"/>
    <w:rsid w:val="00D47DB0"/>
    <w:rsid w:val="00D50CF6"/>
    <w:rsid w:val="00D50EFE"/>
    <w:rsid w:val="00D5163D"/>
    <w:rsid w:val="00D51A5E"/>
    <w:rsid w:val="00D5284C"/>
    <w:rsid w:val="00D53265"/>
    <w:rsid w:val="00D5358E"/>
    <w:rsid w:val="00D5372A"/>
    <w:rsid w:val="00D5589F"/>
    <w:rsid w:val="00D56C40"/>
    <w:rsid w:val="00D56E1D"/>
    <w:rsid w:val="00D60760"/>
    <w:rsid w:val="00D607EB"/>
    <w:rsid w:val="00D61A75"/>
    <w:rsid w:val="00D62AB6"/>
    <w:rsid w:val="00D62C43"/>
    <w:rsid w:val="00D62FE6"/>
    <w:rsid w:val="00D63609"/>
    <w:rsid w:val="00D64076"/>
    <w:rsid w:val="00D66798"/>
    <w:rsid w:val="00D67BA2"/>
    <w:rsid w:val="00D7143D"/>
    <w:rsid w:val="00D71697"/>
    <w:rsid w:val="00D71B86"/>
    <w:rsid w:val="00D73BA8"/>
    <w:rsid w:val="00D74648"/>
    <w:rsid w:val="00D74B0D"/>
    <w:rsid w:val="00D74BAC"/>
    <w:rsid w:val="00D75ABE"/>
    <w:rsid w:val="00D7634C"/>
    <w:rsid w:val="00D76E74"/>
    <w:rsid w:val="00D80A32"/>
    <w:rsid w:val="00D843CA"/>
    <w:rsid w:val="00D8542A"/>
    <w:rsid w:val="00D85686"/>
    <w:rsid w:val="00D856E5"/>
    <w:rsid w:val="00D8597B"/>
    <w:rsid w:val="00D85C12"/>
    <w:rsid w:val="00D8686B"/>
    <w:rsid w:val="00D91765"/>
    <w:rsid w:val="00D9221C"/>
    <w:rsid w:val="00D93D9B"/>
    <w:rsid w:val="00D94FB5"/>
    <w:rsid w:val="00D9515F"/>
    <w:rsid w:val="00D95242"/>
    <w:rsid w:val="00D96880"/>
    <w:rsid w:val="00D97BFE"/>
    <w:rsid w:val="00DA04D6"/>
    <w:rsid w:val="00DA2707"/>
    <w:rsid w:val="00DA29AF"/>
    <w:rsid w:val="00DA3D9B"/>
    <w:rsid w:val="00DA5D74"/>
    <w:rsid w:val="00DA5F7C"/>
    <w:rsid w:val="00DA6FA5"/>
    <w:rsid w:val="00DB0A70"/>
    <w:rsid w:val="00DB380E"/>
    <w:rsid w:val="00DB3B4F"/>
    <w:rsid w:val="00DB65FF"/>
    <w:rsid w:val="00DB791D"/>
    <w:rsid w:val="00DC01A8"/>
    <w:rsid w:val="00DC0697"/>
    <w:rsid w:val="00DC0B5B"/>
    <w:rsid w:val="00DC120D"/>
    <w:rsid w:val="00DC2C80"/>
    <w:rsid w:val="00DC4521"/>
    <w:rsid w:val="00DC4FE5"/>
    <w:rsid w:val="00DC64CC"/>
    <w:rsid w:val="00DC7A7F"/>
    <w:rsid w:val="00DD09BC"/>
    <w:rsid w:val="00DD0CD2"/>
    <w:rsid w:val="00DD0EE0"/>
    <w:rsid w:val="00DD28EF"/>
    <w:rsid w:val="00DD30A6"/>
    <w:rsid w:val="00DD3615"/>
    <w:rsid w:val="00DD576A"/>
    <w:rsid w:val="00DD5CEC"/>
    <w:rsid w:val="00DD6092"/>
    <w:rsid w:val="00DD6ED4"/>
    <w:rsid w:val="00DE0D49"/>
    <w:rsid w:val="00DE153F"/>
    <w:rsid w:val="00DE62B3"/>
    <w:rsid w:val="00DE677A"/>
    <w:rsid w:val="00DE73F5"/>
    <w:rsid w:val="00DE7DF9"/>
    <w:rsid w:val="00DE7FCC"/>
    <w:rsid w:val="00DF219C"/>
    <w:rsid w:val="00E00FC9"/>
    <w:rsid w:val="00E01523"/>
    <w:rsid w:val="00E05177"/>
    <w:rsid w:val="00E052DB"/>
    <w:rsid w:val="00E062B0"/>
    <w:rsid w:val="00E06B15"/>
    <w:rsid w:val="00E07114"/>
    <w:rsid w:val="00E07E5C"/>
    <w:rsid w:val="00E07F32"/>
    <w:rsid w:val="00E10181"/>
    <w:rsid w:val="00E10C5B"/>
    <w:rsid w:val="00E11390"/>
    <w:rsid w:val="00E12B70"/>
    <w:rsid w:val="00E14EA5"/>
    <w:rsid w:val="00E16641"/>
    <w:rsid w:val="00E166F6"/>
    <w:rsid w:val="00E20C07"/>
    <w:rsid w:val="00E20F94"/>
    <w:rsid w:val="00E21716"/>
    <w:rsid w:val="00E2330D"/>
    <w:rsid w:val="00E236B1"/>
    <w:rsid w:val="00E23AA6"/>
    <w:rsid w:val="00E257E6"/>
    <w:rsid w:val="00E26306"/>
    <w:rsid w:val="00E269BE"/>
    <w:rsid w:val="00E316AE"/>
    <w:rsid w:val="00E3334D"/>
    <w:rsid w:val="00E33AEF"/>
    <w:rsid w:val="00E34BAB"/>
    <w:rsid w:val="00E37EDF"/>
    <w:rsid w:val="00E43C38"/>
    <w:rsid w:val="00E44E1F"/>
    <w:rsid w:val="00E4530C"/>
    <w:rsid w:val="00E47E17"/>
    <w:rsid w:val="00E51477"/>
    <w:rsid w:val="00E5196D"/>
    <w:rsid w:val="00E51A0C"/>
    <w:rsid w:val="00E51DE3"/>
    <w:rsid w:val="00E533B8"/>
    <w:rsid w:val="00E61381"/>
    <w:rsid w:val="00E61474"/>
    <w:rsid w:val="00E628A6"/>
    <w:rsid w:val="00E65A9E"/>
    <w:rsid w:val="00E65CD3"/>
    <w:rsid w:val="00E660C8"/>
    <w:rsid w:val="00E6712C"/>
    <w:rsid w:val="00E67376"/>
    <w:rsid w:val="00E7227C"/>
    <w:rsid w:val="00E727CB"/>
    <w:rsid w:val="00E728B1"/>
    <w:rsid w:val="00E73598"/>
    <w:rsid w:val="00E73E71"/>
    <w:rsid w:val="00E74E69"/>
    <w:rsid w:val="00E75EB0"/>
    <w:rsid w:val="00E76C5B"/>
    <w:rsid w:val="00E773B5"/>
    <w:rsid w:val="00E7794F"/>
    <w:rsid w:val="00E80DFE"/>
    <w:rsid w:val="00E81206"/>
    <w:rsid w:val="00E81F42"/>
    <w:rsid w:val="00E84493"/>
    <w:rsid w:val="00E84FA9"/>
    <w:rsid w:val="00E8575D"/>
    <w:rsid w:val="00E91585"/>
    <w:rsid w:val="00E9160C"/>
    <w:rsid w:val="00E92C1C"/>
    <w:rsid w:val="00E9399C"/>
    <w:rsid w:val="00E94754"/>
    <w:rsid w:val="00E95A09"/>
    <w:rsid w:val="00EA01C8"/>
    <w:rsid w:val="00EA0E9E"/>
    <w:rsid w:val="00EA22A2"/>
    <w:rsid w:val="00EA2952"/>
    <w:rsid w:val="00EA379A"/>
    <w:rsid w:val="00EA50DA"/>
    <w:rsid w:val="00EA67D7"/>
    <w:rsid w:val="00EB07DA"/>
    <w:rsid w:val="00EB09CF"/>
    <w:rsid w:val="00EB0DD6"/>
    <w:rsid w:val="00EB0F1E"/>
    <w:rsid w:val="00EB11E7"/>
    <w:rsid w:val="00EB199D"/>
    <w:rsid w:val="00EB1EB5"/>
    <w:rsid w:val="00EB2CDF"/>
    <w:rsid w:val="00EB445B"/>
    <w:rsid w:val="00EB4CDA"/>
    <w:rsid w:val="00EB5044"/>
    <w:rsid w:val="00EB5405"/>
    <w:rsid w:val="00EB59E3"/>
    <w:rsid w:val="00EB5E36"/>
    <w:rsid w:val="00EB5E65"/>
    <w:rsid w:val="00EB6B5C"/>
    <w:rsid w:val="00EC0203"/>
    <w:rsid w:val="00EC27CC"/>
    <w:rsid w:val="00EC29AD"/>
    <w:rsid w:val="00EC401F"/>
    <w:rsid w:val="00EC4639"/>
    <w:rsid w:val="00EC46AD"/>
    <w:rsid w:val="00EC5B45"/>
    <w:rsid w:val="00EC6292"/>
    <w:rsid w:val="00EC6DC9"/>
    <w:rsid w:val="00EC7E1A"/>
    <w:rsid w:val="00EC7F6B"/>
    <w:rsid w:val="00ED0223"/>
    <w:rsid w:val="00ED1524"/>
    <w:rsid w:val="00ED3F78"/>
    <w:rsid w:val="00ED594F"/>
    <w:rsid w:val="00ED5959"/>
    <w:rsid w:val="00ED6C0C"/>
    <w:rsid w:val="00EE2291"/>
    <w:rsid w:val="00EE23DA"/>
    <w:rsid w:val="00EE4590"/>
    <w:rsid w:val="00EE56C6"/>
    <w:rsid w:val="00EE6756"/>
    <w:rsid w:val="00EE778F"/>
    <w:rsid w:val="00EF100B"/>
    <w:rsid w:val="00EF1B2C"/>
    <w:rsid w:val="00EF1CA8"/>
    <w:rsid w:val="00EF25A9"/>
    <w:rsid w:val="00EF30C7"/>
    <w:rsid w:val="00EF41A2"/>
    <w:rsid w:val="00F01328"/>
    <w:rsid w:val="00F02494"/>
    <w:rsid w:val="00F03414"/>
    <w:rsid w:val="00F04493"/>
    <w:rsid w:val="00F04636"/>
    <w:rsid w:val="00F0476C"/>
    <w:rsid w:val="00F04E13"/>
    <w:rsid w:val="00F0520D"/>
    <w:rsid w:val="00F057A4"/>
    <w:rsid w:val="00F061D4"/>
    <w:rsid w:val="00F07EA9"/>
    <w:rsid w:val="00F108D8"/>
    <w:rsid w:val="00F122D9"/>
    <w:rsid w:val="00F126F0"/>
    <w:rsid w:val="00F131DC"/>
    <w:rsid w:val="00F14437"/>
    <w:rsid w:val="00F1537F"/>
    <w:rsid w:val="00F15589"/>
    <w:rsid w:val="00F15B4B"/>
    <w:rsid w:val="00F17619"/>
    <w:rsid w:val="00F20224"/>
    <w:rsid w:val="00F20B69"/>
    <w:rsid w:val="00F215D2"/>
    <w:rsid w:val="00F21873"/>
    <w:rsid w:val="00F2291D"/>
    <w:rsid w:val="00F24DC6"/>
    <w:rsid w:val="00F2565A"/>
    <w:rsid w:val="00F27904"/>
    <w:rsid w:val="00F302D6"/>
    <w:rsid w:val="00F324D1"/>
    <w:rsid w:val="00F33042"/>
    <w:rsid w:val="00F34112"/>
    <w:rsid w:val="00F35662"/>
    <w:rsid w:val="00F35E4A"/>
    <w:rsid w:val="00F35FA4"/>
    <w:rsid w:val="00F35FD0"/>
    <w:rsid w:val="00F376C8"/>
    <w:rsid w:val="00F40AF3"/>
    <w:rsid w:val="00F41785"/>
    <w:rsid w:val="00F4240F"/>
    <w:rsid w:val="00F4587A"/>
    <w:rsid w:val="00F45C44"/>
    <w:rsid w:val="00F45EA4"/>
    <w:rsid w:val="00F4614C"/>
    <w:rsid w:val="00F469EE"/>
    <w:rsid w:val="00F47173"/>
    <w:rsid w:val="00F47711"/>
    <w:rsid w:val="00F478BD"/>
    <w:rsid w:val="00F47B8A"/>
    <w:rsid w:val="00F5028C"/>
    <w:rsid w:val="00F50E00"/>
    <w:rsid w:val="00F52973"/>
    <w:rsid w:val="00F554C4"/>
    <w:rsid w:val="00F55F5B"/>
    <w:rsid w:val="00F56922"/>
    <w:rsid w:val="00F56BE8"/>
    <w:rsid w:val="00F56FB0"/>
    <w:rsid w:val="00F61511"/>
    <w:rsid w:val="00F63A5A"/>
    <w:rsid w:val="00F66E0B"/>
    <w:rsid w:val="00F67046"/>
    <w:rsid w:val="00F671AF"/>
    <w:rsid w:val="00F67651"/>
    <w:rsid w:val="00F7028C"/>
    <w:rsid w:val="00F71420"/>
    <w:rsid w:val="00F71819"/>
    <w:rsid w:val="00F7559E"/>
    <w:rsid w:val="00F768AE"/>
    <w:rsid w:val="00F76C54"/>
    <w:rsid w:val="00F776F1"/>
    <w:rsid w:val="00F778EA"/>
    <w:rsid w:val="00F81047"/>
    <w:rsid w:val="00F81CD5"/>
    <w:rsid w:val="00F82216"/>
    <w:rsid w:val="00F83384"/>
    <w:rsid w:val="00F8459B"/>
    <w:rsid w:val="00F90362"/>
    <w:rsid w:val="00F90648"/>
    <w:rsid w:val="00F908D6"/>
    <w:rsid w:val="00F9140B"/>
    <w:rsid w:val="00F91750"/>
    <w:rsid w:val="00F921CF"/>
    <w:rsid w:val="00F936B0"/>
    <w:rsid w:val="00F94F15"/>
    <w:rsid w:val="00F95339"/>
    <w:rsid w:val="00FA03DE"/>
    <w:rsid w:val="00FA11FA"/>
    <w:rsid w:val="00FA1E6C"/>
    <w:rsid w:val="00FA20F5"/>
    <w:rsid w:val="00FA2409"/>
    <w:rsid w:val="00FA3649"/>
    <w:rsid w:val="00FA5142"/>
    <w:rsid w:val="00FA59CE"/>
    <w:rsid w:val="00FA5AD6"/>
    <w:rsid w:val="00FA5C18"/>
    <w:rsid w:val="00FA67FD"/>
    <w:rsid w:val="00FA7D7B"/>
    <w:rsid w:val="00FB10AA"/>
    <w:rsid w:val="00FB41BE"/>
    <w:rsid w:val="00FB44E0"/>
    <w:rsid w:val="00FB709F"/>
    <w:rsid w:val="00FB770C"/>
    <w:rsid w:val="00FC0770"/>
    <w:rsid w:val="00FC170E"/>
    <w:rsid w:val="00FC17B4"/>
    <w:rsid w:val="00FC37AA"/>
    <w:rsid w:val="00FC43A9"/>
    <w:rsid w:val="00FC510C"/>
    <w:rsid w:val="00FC5112"/>
    <w:rsid w:val="00FC6AC2"/>
    <w:rsid w:val="00FC6F66"/>
    <w:rsid w:val="00FD3011"/>
    <w:rsid w:val="00FD438F"/>
    <w:rsid w:val="00FD4E28"/>
    <w:rsid w:val="00FD5BDC"/>
    <w:rsid w:val="00FD72CB"/>
    <w:rsid w:val="00FE14A6"/>
    <w:rsid w:val="00FE1EEF"/>
    <w:rsid w:val="00FE278F"/>
    <w:rsid w:val="00FE2FA6"/>
    <w:rsid w:val="00FE37E3"/>
    <w:rsid w:val="00FE441F"/>
    <w:rsid w:val="00FE484F"/>
    <w:rsid w:val="00FE499D"/>
    <w:rsid w:val="00FE52AE"/>
    <w:rsid w:val="00FE5C81"/>
    <w:rsid w:val="00FF2A65"/>
    <w:rsid w:val="00FF34BF"/>
    <w:rsid w:val="00FF60DF"/>
    <w:rsid w:val="00FF6629"/>
    <w:rsid w:val="00FF6C14"/>
    <w:rsid w:val="00FF70BE"/>
    <w:rsid w:val="00FF748A"/>
    <w:rsid w:val="00FF7747"/>
    <w:rsid w:val="00FF78C5"/>
    <w:rsid w:val="00FF7C55"/>
    <w:rsid w:val="00FF7EEE"/>
    <w:rsid w:val="01156C56"/>
    <w:rsid w:val="01182929"/>
    <w:rsid w:val="01336206"/>
    <w:rsid w:val="01467ED8"/>
    <w:rsid w:val="020069C5"/>
    <w:rsid w:val="0213766F"/>
    <w:rsid w:val="025325BC"/>
    <w:rsid w:val="026929FF"/>
    <w:rsid w:val="026B1746"/>
    <w:rsid w:val="027E0175"/>
    <w:rsid w:val="028A67B7"/>
    <w:rsid w:val="028D648E"/>
    <w:rsid w:val="029A22D5"/>
    <w:rsid w:val="02A52864"/>
    <w:rsid w:val="02A92DEA"/>
    <w:rsid w:val="02DF1744"/>
    <w:rsid w:val="02E43B84"/>
    <w:rsid w:val="02EF3F5D"/>
    <w:rsid w:val="02F6136A"/>
    <w:rsid w:val="02FB57F1"/>
    <w:rsid w:val="032E14C4"/>
    <w:rsid w:val="033A0B59"/>
    <w:rsid w:val="033C405D"/>
    <w:rsid w:val="03493372"/>
    <w:rsid w:val="0362429C"/>
    <w:rsid w:val="038B3DDC"/>
    <w:rsid w:val="03B25196"/>
    <w:rsid w:val="03C142B6"/>
    <w:rsid w:val="03C63FC1"/>
    <w:rsid w:val="03E17FEB"/>
    <w:rsid w:val="03E47EE4"/>
    <w:rsid w:val="040F1E36"/>
    <w:rsid w:val="04223055"/>
    <w:rsid w:val="043F4B84"/>
    <w:rsid w:val="0444488F"/>
    <w:rsid w:val="047E350A"/>
    <w:rsid w:val="048D5F88"/>
    <w:rsid w:val="04D20B77"/>
    <w:rsid w:val="05066B4B"/>
    <w:rsid w:val="05253B7D"/>
    <w:rsid w:val="054C7A37"/>
    <w:rsid w:val="0560706F"/>
    <w:rsid w:val="058A4BA6"/>
    <w:rsid w:val="05E155B5"/>
    <w:rsid w:val="05E929C1"/>
    <w:rsid w:val="06071F71"/>
    <w:rsid w:val="060B6060"/>
    <w:rsid w:val="062B0085"/>
    <w:rsid w:val="065A5C35"/>
    <w:rsid w:val="06B87421"/>
    <w:rsid w:val="06CA5532"/>
    <w:rsid w:val="06F107DE"/>
    <w:rsid w:val="06FF13D9"/>
    <w:rsid w:val="073161DB"/>
    <w:rsid w:val="073D127D"/>
    <w:rsid w:val="076D4D3B"/>
    <w:rsid w:val="07705CC0"/>
    <w:rsid w:val="077965D0"/>
    <w:rsid w:val="078D01AA"/>
    <w:rsid w:val="07CE378C"/>
    <w:rsid w:val="07CE6F97"/>
    <w:rsid w:val="07D906B9"/>
    <w:rsid w:val="07DB21CB"/>
    <w:rsid w:val="07FC0BA5"/>
    <w:rsid w:val="080F2346"/>
    <w:rsid w:val="08292EF0"/>
    <w:rsid w:val="087B4E0A"/>
    <w:rsid w:val="088C5193"/>
    <w:rsid w:val="08AA1318"/>
    <w:rsid w:val="08AF0BCB"/>
    <w:rsid w:val="08D8231C"/>
    <w:rsid w:val="08F1073B"/>
    <w:rsid w:val="090F4A1E"/>
    <w:rsid w:val="0925408D"/>
    <w:rsid w:val="09317E9F"/>
    <w:rsid w:val="096D7D04"/>
    <w:rsid w:val="099E62D5"/>
    <w:rsid w:val="09A920E8"/>
    <w:rsid w:val="09B43CFC"/>
    <w:rsid w:val="09BD61CF"/>
    <w:rsid w:val="09D73EA1"/>
    <w:rsid w:val="0A110812"/>
    <w:rsid w:val="0A280437"/>
    <w:rsid w:val="0A2F433A"/>
    <w:rsid w:val="0A852D4F"/>
    <w:rsid w:val="0A927E67"/>
    <w:rsid w:val="0A9A7472"/>
    <w:rsid w:val="0AA0137B"/>
    <w:rsid w:val="0AF21185"/>
    <w:rsid w:val="0AF54308"/>
    <w:rsid w:val="0B071D3B"/>
    <w:rsid w:val="0B1A4DA7"/>
    <w:rsid w:val="0B1A6AC6"/>
    <w:rsid w:val="0B2B3C7B"/>
    <w:rsid w:val="0B314E75"/>
    <w:rsid w:val="0B5C2DB3"/>
    <w:rsid w:val="0B6E6550"/>
    <w:rsid w:val="0B711A55"/>
    <w:rsid w:val="0B8A6D7A"/>
    <w:rsid w:val="0BA457DB"/>
    <w:rsid w:val="0BB2112D"/>
    <w:rsid w:val="0BBE1D92"/>
    <w:rsid w:val="0C0F0EA7"/>
    <w:rsid w:val="0C105683"/>
    <w:rsid w:val="0C26247C"/>
    <w:rsid w:val="0C314090"/>
    <w:rsid w:val="0C6557E4"/>
    <w:rsid w:val="0C66131D"/>
    <w:rsid w:val="0C9772B7"/>
    <w:rsid w:val="0CE233B3"/>
    <w:rsid w:val="0D134683"/>
    <w:rsid w:val="0D471659"/>
    <w:rsid w:val="0D5516FB"/>
    <w:rsid w:val="0D635706"/>
    <w:rsid w:val="0D814CB6"/>
    <w:rsid w:val="0D8E0749"/>
    <w:rsid w:val="0DBA2892"/>
    <w:rsid w:val="0DD26016"/>
    <w:rsid w:val="0E17501E"/>
    <w:rsid w:val="0E3960BC"/>
    <w:rsid w:val="0EE85502"/>
    <w:rsid w:val="0F4C3579"/>
    <w:rsid w:val="0F530435"/>
    <w:rsid w:val="0F5A453C"/>
    <w:rsid w:val="0F7979B8"/>
    <w:rsid w:val="0FC32A08"/>
    <w:rsid w:val="0FC66744"/>
    <w:rsid w:val="0FD57709"/>
    <w:rsid w:val="0FE62E2B"/>
    <w:rsid w:val="100912AD"/>
    <w:rsid w:val="10472EC0"/>
    <w:rsid w:val="105015D1"/>
    <w:rsid w:val="10517053"/>
    <w:rsid w:val="107F26DA"/>
    <w:rsid w:val="10A90718"/>
    <w:rsid w:val="10AF15EB"/>
    <w:rsid w:val="10B33874"/>
    <w:rsid w:val="10B81EFA"/>
    <w:rsid w:val="10BD6382"/>
    <w:rsid w:val="11296D36"/>
    <w:rsid w:val="11524677"/>
    <w:rsid w:val="117800AE"/>
    <w:rsid w:val="118C5756"/>
    <w:rsid w:val="11C315B3"/>
    <w:rsid w:val="11CB257E"/>
    <w:rsid w:val="11E43BE6"/>
    <w:rsid w:val="11F2677F"/>
    <w:rsid w:val="11F93B8B"/>
    <w:rsid w:val="121A40C0"/>
    <w:rsid w:val="122B7BDE"/>
    <w:rsid w:val="12380A3D"/>
    <w:rsid w:val="124A6E0E"/>
    <w:rsid w:val="126637EB"/>
    <w:rsid w:val="128E407F"/>
    <w:rsid w:val="12AA1814"/>
    <w:rsid w:val="12E16087"/>
    <w:rsid w:val="12F26322"/>
    <w:rsid w:val="12FF5637"/>
    <w:rsid w:val="13833692"/>
    <w:rsid w:val="13876815"/>
    <w:rsid w:val="13D0018F"/>
    <w:rsid w:val="1425541A"/>
    <w:rsid w:val="1428639F"/>
    <w:rsid w:val="143D2AC1"/>
    <w:rsid w:val="144611D2"/>
    <w:rsid w:val="147D38AA"/>
    <w:rsid w:val="148E15C6"/>
    <w:rsid w:val="14F613BD"/>
    <w:rsid w:val="15166027"/>
    <w:rsid w:val="152A4CC8"/>
    <w:rsid w:val="156B3533"/>
    <w:rsid w:val="156F5159"/>
    <w:rsid w:val="157D6CD0"/>
    <w:rsid w:val="15863D5C"/>
    <w:rsid w:val="158A2763"/>
    <w:rsid w:val="15986DD8"/>
    <w:rsid w:val="159B329C"/>
    <w:rsid w:val="15BF51BB"/>
    <w:rsid w:val="15EC6B3C"/>
    <w:rsid w:val="15ED4A05"/>
    <w:rsid w:val="16017773"/>
    <w:rsid w:val="160D2D3C"/>
    <w:rsid w:val="16165BCA"/>
    <w:rsid w:val="16244EE0"/>
    <w:rsid w:val="16535A2F"/>
    <w:rsid w:val="166F6F59"/>
    <w:rsid w:val="168D6719"/>
    <w:rsid w:val="16AD73C2"/>
    <w:rsid w:val="16D23D7F"/>
    <w:rsid w:val="16E25272"/>
    <w:rsid w:val="16EF58AD"/>
    <w:rsid w:val="170B3E61"/>
    <w:rsid w:val="171D097B"/>
    <w:rsid w:val="1723726E"/>
    <w:rsid w:val="17314412"/>
    <w:rsid w:val="174540BD"/>
    <w:rsid w:val="17484CB1"/>
    <w:rsid w:val="17A553DC"/>
    <w:rsid w:val="17AD6F65"/>
    <w:rsid w:val="1815568F"/>
    <w:rsid w:val="18413A58"/>
    <w:rsid w:val="18767CB3"/>
    <w:rsid w:val="189B6BED"/>
    <w:rsid w:val="189F77F2"/>
    <w:rsid w:val="18BC4BA4"/>
    <w:rsid w:val="18D3325C"/>
    <w:rsid w:val="18D63C8D"/>
    <w:rsid w:val="18E759E8"/>
    <w:rsid w:val="18E86D51"/>
    <w:rsid w:val="18E90EEB"/>
    <w:rsid w:val="18F27B86"/>
    <w:rsid w:val="18F3507E"/>
    <w:rsid w:val="19127B31"/>
    <w:rsid w:val="19206E47"/>
    <w:rsid w:val="193B5472"/>
    <w:rsid w:val="193C52A5"/>
    <w:rsid w:val="196178B0"/>
    <w:rsid w:val="196E6BC6"/>
    <w:rsid w:val="19B02EB2"/>
    <w:rsid w:val="19B263B5"/>
    <w:rsid w:val="19B731B8"/>
    <w:rsid w:val="19BD4746"/>
    <w:rsid w:val="19D807F3"/>
    <w:rsid w:val="1A0E43F3"/>
    <w:rsid w:val="1A4F3CB5"/>
    <w:rsid w:val="1A826A8E"/>
    <w:rsid w:val="1A8F56C5"/>
    <w:rsid w:val="1B446B4C"/>
    <w:rsid w:val="1B6E1E95"/>
    <w:rsid w:val="1B8D00B5"/>
    <w:rsid w:val="1B9E06AE"/>
    <w:rsid w:val="1BAC19F3"/>
    <w:rsid w:val="1BBE69F1"/>
    <w:rsid w:val="1BDE7DFA"/>
    <w:rsid w:val="1C024980"/>
    <w:rsid w:val="1C0F0293"/>
    <w:rsid w:val="1C286DBE"/>
    <w:rsid w:val="1C332BD1"/>
    <w:rsid w:val="1C454170"/>
    <w:rsid w:val="1C4C5CF9"/>
    <w:rsid w:val="1CB65729"/>
    <w:rsid w:val="1D505927"/>
    <w:rsid w:val="1D5B5EB7"/>
    <w:rsid w:val="1D5D4C3D"/>
    <w:rsid w:val="1D7704C4"/>
    <w:rsid w:val="1D853329"/>
    <w:rsid w:val="1D9060FA"/>
    <w:rsid w:val="1DF428DD"/>
    <w:rsid w:val="1DFA67C8"/>
    <w:rsid w:val="1DFB7FBE"/>
    <w:rsid w:val="1E711282"/>
    <w:rsid w:val="1E7F0598"/>
    <w:rsid w:val="1E862B07"/>
    <w:rsid w:val="1EA0654E"/>
    <w:rsid w:val="1ED67A06"/>
    <w:rsid w:val="1EDB762C"/>
    <w:rsid w:val="1EDF6472"/>
    <w:rsid w:val="1EFA20E0"/>
    <w:rsid w:val="1F47185D"/>
    <w:rsid w:val="1F4A7A6E"/>
    <w:rsid w:val="1F4C4468"/>
    <w:rsid w:val="1F6B3698"/>
    <w:rsid w:val="1F734328"/>
    <w:rsid w:val="1FAE0C8A"/>
    <w:rsid w:val="1FC21CE9"/>
    <w:rsid w:val="1FEF3071"/>
    <w:rsid w:val="200E6725"/>
    <w:rsid w:val="202D3756"/>
    <w:rsid w:val="202D6FD9"/>
    <w:rsid w:val="206C0B34"/>
    <w:rsid w:val="206E4015"/>
    <w:rsid w:val="206F32C6"/>
    <w:rsid w:val="207D47DA"/>
    <w:rsid w:val="20AE082C"/>
    <w:rsid w:val="20B44846"/>
    <w:rsid w:val="20D21CE6"/>
    <w:rsid w:val="20E652D4"/>
    <w:rsid w:val="21194658"/>
    <w:rsid w:val="211A411E"/>
    <w:rsid w:val="213D6E16"/>
    <w:rsid w:val="21540FBA"/>
    <w:rsid w:val="21843D08"/>
    <w:rsid w:val="218E155F"/>
    <w:rsid w:val="21C63877"/>
    <w:rsid w:val="21F66939"/>
    <w:rsid w:val="22384AB0"/>
    <w:rsid w:val="225D4885"/>
    <w:rsid w:val="229009C2"/>
    <w:rsid w:val="229067C3"/>
    <w:rsid w:val="22D86BB8"/>
    <w:rsid w:val="23085188"/>
    <w:rsid w:val="230F1290"/>
    <w:rsid w:val="231B63A7"/>
    <w:rsid w:val="232E4C14"/>
    <w:rsid w:val="233D3830"/>
    <w:rsid w:val="233F03CD"/>
    <w:rsid w:val="23495BF2"/>
    <w:rsid w:val="234E1286"/>
    <w:rsid w:val="23567486"/>
    <w:rsid w:val="237D7345"/>
    <w:rsid w:val="238060CC"/>
    <w:rsid w:val="238237CD"/>
    <w:rsid w:val="238F08E5"/>
    <w:rsid w:val="239D347E"/>
    <w:rsid w:val="23A14082"/>
    <w:rsid w:val="23A45007"/>
    <w:rsid w:val="23AD7E95"/>
    <w:rsid w:val="23B00E19"/>
    <w:rsid w:val="23B530D6"/>
    <w:rsid w:val="23C04937"/>
    <w:rsid w:val="23C123B8"/>
    <w:rsid w:val="23CF4F7B"/>
    <w:rsid w:val="23D07150"/>
    <w:rsid w:val="24215C55"/>
    <w:rsid w:val="242642DB"/>
    <w:rsid w:val="245E7CB8"/>
    <w:rsid w:val="246E5ED0"/>
    <w:rsid w:val="24BC0052"/>
    <w:rsid w:val="24D6035C"/>
    <w:rsid w:val="250671CD"/>
    <w:rsid w:val="25477C36"/>
    <w:rsid w:val="25754FE1"/>
    <w:rsid w:val="2592000F"/>
    <w:rsid w:val="25A47BA3"/>
    <w:rsid w:val="25AB795A"/>
    <w:rsid w:val="260625F3"/>
    <w:rsid w:val="262A74B2"/>
    <w:rsid w:val="26446814"/>
    <w:rsid w:val="264F38C5"/>
    <w:rsid w:val="269E3A6B"/>
    <w:rsid w:val="26E3376C"/>
    <w:rsid w:val="26EA6341"/>
    <w:rsid w:val="26FF6F87"/>
    <w:rsid w:val="27420CF5"/>
    <w:rsid w:val="277A46D2"/>
    <w:rsid w:val="27A45517"/>
    <w:rsid w:val="27AD03A5"/>
    <w:rsid w:val="2813238E"/>
    <w:rsid w:val="284A2078"/>
    <w:rsid w:val="284F6542"/>
    <w:rsid w:val="28691DDD"/>
    <w:rsid w:val="289C7CAD"/>
    <w:rsid w:val="28AC02F7"/>
    <w:rsid w:val="28B019D3"/>
    <w:rsid w:val="28CE16F0"/>
    <w:rsid w:val="28EF7AB7"/>
    <w:rsid w:val="2936242A"/>
    <w:rsid w:val="295E5B6D"/>
    <w:rsid w:val="2968322A"/>
    <w:rsid w:val="296A7401"/>
    <w:rsid w:val="2A380D53"/>
    <w:rsid w:val="2A4D36EA"/>
    <w:rsid w:val="2A520E5E"/>
    <w:rsid w:val="2A897858"/>
    <w:rsid w:val="2AA4561F"/>
    <w:rsid w:val="2AA9450A"/>
    <w:rsid w:val="2B143BB9"/>
    <w:rsid w:val="2B1F1358"/>
    <w:rsid w:val="2B2960DD"/>
    <w:rsid w:val="2B3758CC"/>
    <w:rsid w:val="2B3E6082"/>
    <w:rsid w:val="2B90018A"/>
    <w:rsid w:val="2B94578C"/>
    <w:rsid w:val="2C025DC0"/>
    <w:rsid w:val="2C030D3E"/>
    <w:rsid w:val="2C166845"/>
    <w:rsid w:val="2C2052C3"/>
    <w:rsid w:val="2C2E2107"/>
    <w:rsid w:val="2CAF0DE3"/>
    <w:rsid w:val="2CF653D4"/>
    <w:rsid w:val="2D5262DB"/>
    <w:rsid w:val="2D83119B"/>
    <w:rsid w:val="2D8604D9"/>
    <w:rsid w:val="2D885E2D"/>
    <w:rsid w:val="2E013307"/>
    <w:rsid w:val="2E0E562F"/>
    <w:rsid w:val="2E2D525F"/>
    <w:rsid w:val="2E6D0438"/>
    <w:rsid w:val="2E750BE6"/>
    <w:rsid w:val="2E7F2928"/>
    <w:rsid w:val="2E8C19CD"/>
    <w:rsid w:val="2E97127C"/>
    <w:rsid w:val="2EB060C2"/>
    <w:rsid w:val="2ED1015D"/>
    <w:rsid w:val="2F3445FD"/>
    <w:rsid w:val="2F3B2E67"/>
    <w:rsid w:val="2F4B2239"/>
    <w:rsid w:val="2F6354CD"/>
    <w:rsid w:val="2F642F4F"/>
    <w:rsid w:val="2F666452"/>
    <w:rsid w:val="2F6A1E01"/>
    <w:rsid w:val="2F9846A2"/>
    <w:rsid w:val="2FB55D59"/>
    <w:rsid w:val="2FD40C84"/>
    <w:rsid w:val="2FFB1A4B"/>
    <w:rsid w:val="2FFB6945"/>
    <w:rsid w:val="2FFE78CA"/>
    <w:rsid w:val="30031749"/>
    <w:rsid w:val="30264F9C"/>
    <w:rsid w:val="304C544B"/>
    <w:rsid w:val="306153F0"/>
    <w:rsid w:val="309C68FD"/>
    <w:rsid w:val="30A844DF"/>
    <w:rsid w:val="30C1608D"/>
    <w:rsid w:val="31121990"/>
    <w:rsid w:val="31321BF6"/>
    <w:rsid w:val="31517FA2"/>
    <w:rsid w:val="31753D2E"/>
    <w:rsid w:val="31B00595"/>
    <w:rsid w:val="31CA0852"/>
    <w:rsid w:val="31DB0D9F"/>
    <w:rsid w:val="32174F27"/>
    <w:rsid w:val="322E55E0"/>
    <w:rsid w:val="32560D23"/>
    <w:rsid w:val="326A79C4"/>
    <w:rsid w:val="32774ADB"/>
    <w:rsid w:val="32851956"/>
    <w:rsid w:val="329520E2"/>
    <w:rsid w:val="3296737C"/>
    <w:rsid w:val="32992A91"/>
    <w:rsid w:val="32D22500"/>
    <w:rsid w:val="32D33B70"/>
    <w:rsid w:val="32DC2281"/>
    <w:rsid w:val="32E63BEC"/>
    <w:rsid w:val="32E76018"/>
    <w:rsid w:val="330D71CD"/>
    <w:rsid w:val="33365E13"/>
    <w:rsid w:val="33406722"/>
    <w:rsid w:val="335A2219"/>
    <w:rsid w:val="336C7BB8"/>
    <w:rsid w:val="337436F9"/>
    <w:rsid w:val="337A3A69"/>
    <w:rsid w:val="33FF585B"/>
    <w:rsid w:val="344707D5"/>
    <w:rsid w:val="345B5F75"/>
    <w:rsid w:val="345F23FD"/>
    <w:rsid w:val="346B5E65"/>
    <w:rsid w:val="348D63C4"/>
    <w:rsid w:val="34A075E3"/>
    <w:rsid w:val="35057307"/>
    <w:rsid w:val="351526BB"/>
    <w:rsid w:val="35281E46"/>
    <w:rsid w:val="3537465F"/>
    <w:rsid w:val="3548237A"/>
    <w:rsid w:val="354E4AE3"/>
    <w:rsid w:val="3555404F"/>
    <w:rsid w:val="35823285"/>
    <w:rsid w:val="359336F3"/>
    <w:rsid w:val="359B4383"/>
    <w:rsid w:val="35A35F0C"/>
    <w:rsid w:val="35CB4027"/>
    <w:rsid w:val="36300FF3"/>
    <w:rsid w:val="363B7384"/>
    <w:rsid w:val="369506E2"/>
    <w:rsid w:val="36AC41C0"/>
    <w:rsid w:val="36B83D65"/>
    <w:rsid w:val="36BC0371"/>
    <w:rsid w:val="36DE2411"/>
    <w:rsid w:val="36F13630"/>
    <w:rsid w:val="36F75539"/>
    <w:rsid w:val="37043773"/>
    <w:rsid w:val="37073B57"/>
    <w:rsid w:val="37083255"/>
    <w:rsid w:val="3733791C"/>
    <w:rsid w:val="37AB4B56"/>
    <w:rsid w:val="37B101EB"/>
    <w:rsid w:val="37E93BC8"/>
    <w:rsid w:val="37F01B02"/>
    <w:rsid w:val="37F7095F"/>
    <w:rsid w:val="381140FE"/>
    <w:rsid w:val="382D6E5A"/>
    <w:rsid w:val="386E3E21"/>
    <w:rsid w:val="387E40BB"/>
    <w:rsid w:val="38C61BAE"/>
    <w:rsid w:val="38CA1F45"/>
    <w:rsid w:val="38D037D9"/>
    <w:rsid w:val="39374B6F"/>
    <w:rsid w:val="394924A4"/>
    <w:rsid w:val="394F6992"/>
    <w:rsid w:val="397C3FDE"/>
    <w:rsid w:val="399B1010"/>
    <w:rsid w:val="399F7A16"/>
    <w:rsid w:val="3A2C08FF"/>
    <w:rsid w:val="3A2C4FAA"/>
    <w:rsid w:val="3A733095"/>
    <w:rsid w:val="3A756C92"/>
    <w:rsid w:val="3AA45242"/>
    <w:rsid w:val="3AD1108C"/>
    <w:rsid w:val="3ADE2921"/>
    <w:rsid w:val="3B1542F8"/>
    <w:rsid w:val="3B3B228B"/>
    <w:rsid w:val="3B3C073C"/>
    <w:rsid w:val="3B5F79F7"/>
    <w:rsid w:val="3B7442DC"/>
    <w:rsid w:val="3B7B3AA4"/>
    <w:rsid w:val="3B8159AD"/>
    <w:rsid w:val="3B9075CD"/>
    <w:rsid w:val="3BB57101"/>
    <w:rsid w:val="3BD21711"/>
    <w:rsid w:val="3C2A4B41"/>
    <w:rsid w:val="3C321F4D"/>
    <w:rsid w:val="3C3D55C2"/>
    <w:rsid w:val="3C541802"/>
    <w:rsid w:val="3C5B0B93"/>
    <w:rsid w:val="3C60501B"/>
    <w:rsid w:val="3C6749A6"/>
    <w:rsid w:val="3C874EDB"/>
    <w:rsid w:val="3C946327"/>
    <w:rsid w:val="3CC57CD5"/>
    <w:rsid w:val="3CCD7BCD"/>
    <w:rsid w:val="3CD704DD"/>
    <w:rsid w:val="3CDC01E8"/>
    <w:rsid w:val="3CDF6BEE"/>
    <w:rsid w:val="3D05582A"/>
    <w:rsid w:val="3D2577C0"/>
    <w:rsid w:val="3D2A119C"/>
    <w:rsid w:val="3D3C1506"/>
    <w:rsid w:val="3D6367D3"/>
    <w:rsid w:val="3D730451"/>
    <w:rsid w:val="3DB36BC6"/>
    <w:rsid w:val="3DDB0705"/>
    <w:rsid w:val="3E091B54"/>
    <w:rsid w:val="3E1768EB"/>
    <w:rsid w:val="3E33621B"/>
    <w:rsid w:val="3E411D9C"/>
    <w:rsid w:val="3E677EB8"/>
    <w:rsid w:val="3E764706"/>
    <w:rsid w:val="3F027B6D"/>
    <w:rsid w:val="3F2932B0"/>
    <w:rsid w:val="3F5B1501"/>
    <w:rsid w:val="3F9B588B"/>
    <w:rsid w:val="3FA96152"/>
    <w:rsid w:val="3FB03189"/>
    <w:rsid w:val="3FDB17C4"/>
    <w:rsid w:val="3FE1769B"/>
    <w:rsid w:val="3FEB7AEB"/>
    <w:rsid w:val="3FFD0A3B"/>
    <w:rsid w:val="3FFE1219"/>
    <w:rsid w:val="403676B1"/>
    <w:rsid w:val="404A551D"/>
    <w:rsid w:val="408C7D30"/>
    <w:rsid w:val="40D62BE7"/>
    <w:rsid w:val="40FA572A"/>
    <w:rsid w:val="41340D87"/>
    <w:rsid w:val="413A6513"/>
    <w:rsid w:val="419868AD"/>
    <w:rsid w:val="419F3CB9"/>
    <w:rsid w:val="41A129F4"/>
    <w:rsid w:val="421B361A"/>
    <w:rsid w:val="42433815"/>
    <w:rsid w:val="4255108E"/>
    <w:rsid w:val="42721A93"/>
    <w:rsid w:val="42934FFC"/>
    <w:rsid w:val="42E94CF2"/>
    <w:rsid w:val="42F8776E"/>
    <w:rsid w:val="43005F9E"/>
    <w:rsid w:val="432824BB"/>
    <w:rsid w:val="434370AD"/>
    <w:rsid w:val="43536B83"/>
    <w:rsid w:val="435D1690"/>
    <w:rsid w:val="438A6CDC"/>
    <w:rsid w:val="43962AEF"/>
    <w:rsid w:val="43A7408E"/>
    <w:rsid w:val="43CA4243"/>
    <w:rsid w:val="440C48DE"/>
    <w:rsid w:val="440D5775"/>
    <w:rsid w:val="442104D5"/>
    <w:rsid w:val="442E3F67"/>
    <w:rsid w:val="4442648B"/>
    <w:rsid w:val="44486FBC"/>
    <w:rsid w:val="44495E16"/>
    <w:rsid w:val="44781916"/>
    <w:rsid w:val="44A52360"/>
    <w:rsid w:val="44A65B45"/>
    <w:rsid w:val="44AE35BC"/>
    <w:rsid w:val="44CB096E"/>
    <w:rsid w:val="44E62116"/>
    <w:rsid w:val="44FC113D"/>
    <w:rsid w:val="45192C6B"/>
    <w:rsid w:val="45290D7E"/>
    <w:rsid w:val="453D4124"/>
    <w:rsid w:val="4594599D"/>
    <w:rsid w:val="45B914F0"/>
    <w:rsid w:val="45C03FB5"/>
    <w:rsid w:val="45C05105"/>
    <w:rsid w:val="45C365B3"/>
    <w:rsid w:val="45CD3A13"/>
    <w:rsid w:val="46080375"/>
    <w:rsid w:val="462D14AE"/>
    <w:rsid w:val="462E4D32"/>
    <w:rsid w:val="462F49B1"/>
    <w:rsid w:val="4670029C"/>
    <w:rsid w:val="46BC369C"/>
    <w:rsid w:val="46C77893"/>
    <w:rsid w:val="46E81BE2"/>
    <w:rsid w:val="474C76A6"/>
    <w:rsid w:val="47580F9C"/>
    <w:rsid w:val="47783A4F"/>
    <w:rsid w:val="47A208AB"/>
    <w:rsid w:val="47B45E32"/>
    <w:rsid w:val="47EF7E63"/>
    <w:rsid w:val="47F00216"/>
    <w:rsid w:val="47F25917"/>
    <w:rsid w:val="48636ED0"/>
    <w:rsid w:val="48B87C5F"/>
    <w:rsid w:val="48C76BF4"/>
    <w:rsid w:val="48C833C0"/>
    <w:rsid w:val="48FB506A"/>
    <w:rsid w:val="49131272"/>
    <w:rsid w:val="491834FB"/>
    <w:rsid w:val="491D3EFC"/>
    <w:rsid w:val="49217A8E"/>
    <w:rsid w:val="494A71CD"/>
    <w:rsid w:val="49781099"/>
    <w:rsid w:val="498502AC"/>
    <w:rsid w:val="49F312A4"/>
    <w:rsid w:val="4A2A3300"/>
    <w:rsid w:val="4A2F4EC1"/>
    <w:rsid w:val="4A626995"/>
    <w:rsid w:val="4AAB008E"/>
    <w:rsid w:val="4AB851A6"/>
    <w:rsid w:val="4ACE1548"/>
    <w:rsid w:val="4AE3590F"/>
    <w:rsid w:val="4AE95975"/>
    <w:rsid w:val="4B154342"/>
    <w:rsid w:val="4B1A6144"/>
    <w:rsid w:val="4B1F21AD"/>
    <w:rsid w:val="4B282EDB"/>
    <w:rsid w:val="4B315D69"/>
    <w:rsid w:val="4B5D2BD9"/>
    <w:rsid w:val="4B683CC5"/>
    <w:rsid w:val="4B924B09"/>
    <w:rsid w:val="4B986BFD"/>
    <w:rsid w:val="4BCD53E0"/>
    <w:rsid w:val="4C027114"/>
    <w:rsid w:val="4C1A7F60"/>
    <w:rsid w:val="4C39200C"/>
    <w:rsid w:val="4CB726ED"/>
    <w:rsid w:val="4CC22810"/>
    <w:rsid w:val="4CC53C01"/>
    <w:rsid w:val="4CE36A34"/>
    <w:rsid w:val="4CEB5CCA"/>
    <w:rsid w:val="4CF84A64"/>
    <w:rsid w:val="4D742AA0"/>
    <w:rsid w:val="4DA06DE7"/>
    <w:rsid w:val="4DA3740F"/>
    <w:rsid w:val="4DA87A77"/>
    <w:rsid w:val="4DC31EF7"/>
    <w:rsid w:val="4DF777F6"/>
    <w:rsid w:val="4E7D0D54"/>
    <w:rsid w:val="4E873862"/>
    <w:rsid w:val="4EEE450B"/>
    <w:rsid w:val="4EF72DB0"/>
    <w:rsid w:val="4F6B0DA8"/>
    <w:rsid w:val="4FA17831"/>
    <w:rsid w:val="4FB530E0"/>
    <w:rsid w:val="4FC15B68"/>
    <w:rsid w:val="4FE302FD"/>
    <w:rsid w:val="4FED7CB1"/>
    <w:rsid w:val="50656676"/>
    <w:rsid w:val="506F6F85"/>
    <w:rsid w:val="50AF4E94"/>
    <w:rsid w:val="50B9287D"/>
    <w:rsid w:val="50D024A2"/>
    <w:rsid w:val="51145515"/>
    <w:rsid w:val="512C5624"/>
    <w:rsid w:val="512F5D3F"/>
    <w:rsid w:val="51384450"/>
    <w:rsid w:val="5141037A"/>
    <w:rsid w:val="516916E5"/>
    <w:rsid w:val="519B0C71"/>
    <w:rsid w:val="51A84704"/>
    <w:rsid w:val="51A92185"/>
    <w:rsid w:val="51AC0B8B"/>
    <w:rsid w:val="51AE6039"/>
    <w:rsid w:val="51BD21A7"/>
    <w:rsid w:val="51F44A3F"/>
    <w:rsid w:val="5202191A"/>
    <w:rsid w:val="52530420"/>
    <w:rsid w:val="526770C0"/>
    <w:rsid w:val="527244EB"/>
    <w:rsid w:val="5290482D"/>
    <w:rsid w:val="52917F04"/>
    <w:rsid w:val="52A0315C"/>
    <w:rsid w:val="52A033D2"/>
    <w:rsid w:val="52AF2D38"/>
    <w:rsid w:val="52B471BF"/>
    <w:rsid w:val="52BB6B4A"/>
    <w:rsid w:val="52C9575D"/>
    <w:rsid w:val="52D902F9"/>
    <w:rsid w:val="52DF6CAA"/>
    <w:rsid w:val="52E57125"/>
    <w:rsid w:val="52F45F7D"/>
    <w:rsid w:val="53073B51"/>
    <w:rsid w:val="531A6B64"/>
    <w:rsid w:val="5347092C"/>
    <w:rsid w:val="5349235D"/>
    <w:rsid w:val="537C6C08"/>
    <w:rsid w:val="538610B8"/>
    <w:rsid w:val="53BD3DEE"/>
    <w:rsid w:val="53EC6EBC"/>
    <w:rsid w:val="53FA3C53"/>
    <w:rsid w:val="54077459"/>
    <w:rsid w:val="541D3A07"/>
    <w:rsid w:val="543A1E06"/>
    <w:rsid w:val="543C16DA"/>
    <w:rsid w:val="54530EF2"/>
    <w:rsid w:val="54556C40"/>
    <w:rsid w:val="54560AEA"/>
    <w:rsid w:val="54712998"/>
    <w:rsid w:val="548A7CBF"/>
    <w:rsid w:val="548B2B5C"/>
    <w:rsid w:val="551B1C37"/>
    <w:rsid w:val="553D2C69"/>
    <w:rsid w:val="554561F4"/>
    <w:rsid w:val="558A5663"/>
    <w:rsid w:val="559F5609"/>
    <w:rsid w:val="55DB3175"/>
    <w:rsid w:val="55F23D8E"/>
    <w:rsid w:val="55F97494"/>
    <w:rsid w:val="562035D8"/>
    <w:rsid w:val="562532E3"/>
    <w:rsid w:val="565405AF"/>
    <w:rsid w:val="565423C2"/>
    <w:rsid w:val="56546362"/>
    <w:rsid w:val="565A349A"/>
    <w:rsid w:val="566F245E"/>
    <w:rsid w:val="569E4FCB"/>
    <w:rsid w:val="56BC092E"/>
    <w:rsid w:val="56CD6F74"/>
    <w:rsid w:val="56D02CD3"/>
    <w:rsid w:val="56DB3D0C"/>
    <w:rsid w:val="56E46B9A"/>
    <w:rsid w:val="571A0EA1"/>
    <w:rsid w:val="571B4AF5"/>
    <w:rsid w:val="57271964"/>
    <w:rsid w:val="57856723"/>
    <w:rsid w:val="57E809C6"/>
    <w:rsid w:val="57F5431C"/>
    <w:rsid w:val="5813728B"/>
    <w:rsid w:val="58450D5F"/>
    <w:rsid w:val="584645E3"/>
    <w:rsid w:val="585F6E8A"/>
    <w:rsid w:val="5871760A"/>
    <w:rsid w:val="58825341"/>
    <w:rsid w:val="58B0040F"/>
    <w:rsid w:val="58C51E4E"/>
    <w:rsid w:val="58EA2816"/>
    <w:rsid w:val="58F81753"/>
    <w:rsid w:val="5902026F"/>
    <w:rsid w:val="590F5946"/>
    <w:rsid w:val="59571EA1"/>
    <w:rsid w:val="597464B5"/>
    <w:rsid w:val="59A1101C"/>
    <w:rsid w:val="59A776A2"/>
    <w:rsid w:val="59B234B4"/>
    <w:rsid w:val="59B54439"/>
    <w:rsid w:val="59D75C73"/>
    <w:rsid w:val="59D97A26"/>
    <w:rsid w:val="59DB7EFC"/>
    <w:rsid w:val="5A0F1650"/>
    <w:rsid w:val="5A1F548B"/>
    <w:rsid w:val="5A440825"/>
    <w:rsid w:val="5A5020B9"/>
    <w:rsid w:val="5AEE394A"/>
    <w:rsid w:val="5AF71DA3"/>
    <w:rsid w:val="5AFA22EF"/>
    <w:rsid w:val="5B164D32"/>
    <w:rsid w:val="5B1B0888"/>
    <w:rsid w:val="5B27469B"/>
    <w:rsid w:val="5B2E193C"/>
    <w:rsid w:val="5B3874E6"/>
    <w:rsid w:val="5B625D5F"/>
    <w:rsid w:val="5BB2427F"/>
    <w:rsid w:val="5BCC7026"/>
    <w:rsid w:val="5BDE63C8"/>
    <w:rsid w:val="5BEE6662"/>
    <w:rsid w:val="5BF736EF"/>
    <w:rsid w:val="5BF949F3"/>
    <w:rsid w:val="5BFE68FD"/>
    <w:rsid w:val="5C183C23"/>
    <w:rsid w:val="5C1F66ED"/>
    <w:rsid w:val="5C3309A7"/>
    <w:rsid w:val="5C3C5EA3"/>
    <w:rsid w:val="5C4C447D"/>
    <w:rsid w:val="5C5679F9"/>
    <w:rsid w:val="5C782D43"/>
    <w:rsid w:val="5C7B5EC6"/>
    <w:rsid w:val="5C820041"/>
    <w:rsid w:val="5CAF2E9D"/>
    <w:rsid w:val="5CB62326"/>
    <w:rsid w:val="5CC11CBF"/>
    <w:rsid w:val="5CCB6F4A"/>
    <w:rsid w:val="5CD7269C"/>
    <w:rsid w:val="5CD96260"/>
    <w:rsid w:val="5CE65575"/>
    <w:rsid w:val="5CE95481"/>
    <w:rsid w:val="5D0D6ABA"/>
    <w:rsid w:val="5D153410"/>
    <w:rsid w:val="5D2437C6"/>
    <w:rsid w:val="5D385380"/>
    <w:rsid w:val="5D3B6304"/>
    <w:rsid w:val="5D450E12"/>
    <w:rsid w:val="5D456C14"/>
    <w:rsid w:val="5D5226A6"/>
    <w:rsid w:val="5D8D081F"/>
    <w:rsid w:val="5D924043"/>
    <w:rsid w:val="5D954414"/>
    <w:rsid w:val="5DB54949"/>
    <w:rsid w:val="5DD13C46"/>
    <w:rsid w:val="5E1B2B01"/>
    <w:rsid w:val="5E1B5972"/>
    <w:rsid w:val="5E466D18"/>
    <w:rsid w:val="5E7D6910"/>
    <w:rsid w:val="5E7F4146"/>
    <w:rsid w:val="5E9F7979"/>
    <w:rsid w:val="5ECC1F13"/>
    <w:rsid w:val="5EE7053E"/>
    <w:rsid w:val="5F0D4001"/>
    <w:rsid w:val="5F107184"/>
    <w:rsid w:val="5F4440F2"/>
    <w:rsid w:val="5FAB1E0A"/>
    <w:rsid w:val="5FF564FD"/>
    <w:rsid w:val="602747BC"/>
    <w:rsid w:val="603911C4"/>
    <w:rsid w:val="60A81824"/>
    <w:rsid w:val="60B430B8"/>
    <w:rsid w:val="60C47ACF"/>
    <w:rsid w:val="60CA1081"/>
    <w:rsid w:val="60E40384"/>
    <w:rsid w:val="60F32B9D"/>
    <w:rsid w:val="610C5CC5"/>
    <w:rsid w:val="610F6C4A"/>
    <w:rsid w:val="611565D4"/>
    <w:rsid w:val="61302A02"/>
    <w:rsid w:val="61393311"/>
    <w:rsid w:val="61681977"/>
    <w:rsid w:val="61753621"/>
    <w:rsid w:val="61994610"/>
    <w:rsid w:val="61A546D6"/>
    <w:rsid w:val="62383234"/>
    <w:rsid w:val="623A0935"/>
    <w:rsid w:val="62400DE6"/>
    <w:rsid w:val="629D33EB"/>
    <w:rsid w:val="62A115DE"/>
    <w:rsid w:val="62A54BDB"/>
    <w:rsid w:val="62AB5771"/>
    <w:rsid w:val="62B71584"/>
    <w:rsid w:val="62D1322E"/>
    <w:rsid w:val="62DB04BF"/>
    <w:rsid w:val="62DF3642"/>
    <w:rsid w:val="6300220E"/>
    <w:rsid w:val="631C34A7"/>
    <w:rsid w:val="63537858"/>
    <w:rsid w:val="638C4A5F"/>
    <w:rsid w:val="63A13700"/>
    <w:rsid w:val="63AA29B2"/>
    <w:rsid w:val="63D31D15"/>
    <w:rsid w:val="63E818F6"/>
    <w:rsid w:val="641B55C8"/>
    <w:rsid w:val="6443678C"/>
    <w:rsid w:val="64665A47"/>
    <w:rsid w:val="64846B72"/>
    <w:rsid w:val="649B311F"/>
    <w:rsid w:val="64A41551"/>
    <w:rsid w:val="64AB2CB8"/>
    <w:rsid w:val="64B16DC0"/>
    <w:rsid w:val="64C92D33"/>
    <w:rsid w:val="64FB04B9"/>
    <w:rsid w:val="651B09EE"/>
    <w:rsid w:val="651C7DFC"/>
    <w:rsid w:val="65235DFA"/>
    <w:rsid w:val="654C30DC"/>
    <w:rsid w:val="659506B8"/>
    <w:rsid w:val="659E0FC7"/>
    <w:rsid w:val="65AD24DB"/>
    <w:rsid w:val="65CC659E"/>
    <w:rsid w:val="65D514A1"/>
    <w:rsid w:val="65EC32C5"/>
    <w:rsid w:val="66624588"/>
    <w:rsid w:val="66693F13"/>
    <w:rsid w:val="667444A2"/>
    <w:rsid w:val="66A0406D"/>
    <w:rsid w:val="66BD399D"/>
    <w:rsid w:val="66DE1953"/>
    <w:rsid w:val="66FF18B7"/>
    <w:rsid w:val="67261C54"/>
    <w:rsid w:val="674370F9"/>
    <w:rsid w:val="6748516D"/>
    <w:rsid w:val="675F65F4"/>
    <w:rsid w:val="677D3849"/>
    <w:rsid w:val="67AC32A5"/>
    <w:rsid w:val="67AE67A9"/>
    <w:rsid w:val="67D0475F"/>
    <w:rsid w:val="67D5446A"/>
    <w:rsid w:val="67DD3A75"/>
    <w:rsid w:val="67F20E1E"/>
    <w:rsid w:val="67F820A0"/>
    <w:rsid w:val="68220CE6"/>
    <w:rsid w:val="68355C39"/>
    <w:rsid w:val="684C792C"/>
    <w:rsid w:val="686069EA"/>
    <w:rsid w:val="687D5B7C"/>
    <w:rsid w:val="68A24AB7"/>
    <w:rsid w:val="68A70F3F"/>
    <w:rsid w:val="68B43ADD"/>
    <w:rsid w:val="68DB2693"/>
    <w:rsid w:val="69900EBC"/>
    <w:rsid w:val="69D72B28"/>
    <w:rsid w:val="69E441CA"/>
    <w:rsid w:val="6A0B0806"/>
    <w:rsid w:val="6A0B6AAF"/>
    <w:rsid w:val="6A3C4858"/>
    <w:rsid w:val="6A3C7C9F"/>
    <w:rsid w:val="6A3E07D2"/>
    <w:rsid w:val="6A66349E"/>
    <w:rsid w:val="6A680BA0"/>
    <w:rsid w:val="6A7E0B45"/>
    <w:rsid w:val="6AA84298"/>
    <w:rsid w:val="6AAF1314"/>
    <w:rsid w:val="6ABC642B"/>
    <w:rsid w:val="6ABD3EAD"/>
    <w:rsid w:val="6AF97F4F"/>
    <w:rsid w:val="6B0420A3"/>
    <w:rsid w:val="6B1E73CA"/>
    <w:rsid w:val="6B2028CD"/>
    <w:rsid w:val="6B244B56"/>
    <w:rsid w:val="6B8F6404"/>
    <w:rsid w:val="6BD004F2"/>
    <w:rsid w:val="6BE932EB"/>
    <w:rsid w:val="6C077347"/>
    <w:rsid w:val="6C6E7FF0"/>
    <w:rsid w:val="6C7604E7"/>
    <w:rsid w:val="6C9A7BBB"/>
    <w:rsid w:val="6CB74F6C"/>
    <w:rsid w:val="6CD552AA"/>
    <w:rsid w:val="6CDE3A47"/>
    <w:rsid w:val="6CE131BE"/>
    <w:rsid w:val="6CF70AD8"/>
    <w:rsid w:val="6D055E2C"/>
    <w:rsid w:val="6D0A6F75"/>
    <w:rsid w:val="6D1D22CD"/>
    <w:rsid w:val="6D2C5FC7"/>
    <w:rsid w:val="6D5910F7"/>
    <w:rsid w:val="6D6A4A10"/>
    <w:rsid w:val="6D6D5995"/>
    <w:rsid w:val="6D6F471B"/>
    <w:rsid w:val="6D8455BA"/>
    <w:rsid w:val="6D8C523A"/>
    <w:rsid w:val="6DA237FC"/>
    <w:rsid w:val="6DD96D80"/>
    <w:rsid w:val="6DEA65E3"/>
    <w:rsid w:val="6E3147D9"/>
    <w:rsid w:val="6E3E731B"/>
    <w:rsid w:val="6E737441"/>
    <w:rsid w:val="6EA168B2"/>
    <w:rsid w:val="6EDA2A45"/>
    <w:rsid w:val="6EF971F8"/>
    <w:rsid w:val="6F1E78D9"/>
    <w:rsid w:val="6F9D716D"/>
    <w:rsid w:val="6F9F112C"/>
    <w:rsid w:val="6FBD3F60"/>
    <w:rsid w:val="6FBF7463"/>
    <w:rsid w:val="6FC57B88"/>
    <w:rsid w:val="6FEF5D43"/>
    <w:rsid w:val="6FF4227E"/>
    <w:rsid w:val="706743F9"/>
    <w:rsid w:val="709B394E"/>
    <w:rsid w:val="70B23573"/>
    <w:rsid w:val="70BB05FF"/>
    <w:rsid w:val="70C42D2B"/>
    <w:rsid w:val="70C63796"/>
    <w:rsid w:val="70CC631B"/>
    <w:rsid w:val="70D572B7"/>
    <w:rsid w:val="70E262C1"/>
    <w:rsid w:val="70FB13E9"/>
    <w:rsid w:val="71705FC9"/>
    <w:rsid w:val="71835E4A"/>
    <w:rsid w:val="71A010A2"/>
    <w:rsid w:val="71A208FD"/>
    <w:rsid w:val="71D545CF"/>
    <w:rsid w:val="71F02BFB"/>
    <w:rsid w:val="71F562E0"/>
    <w:rsid w:val="72112914"/>
    <w:rsid w:val="722C0861"/>
    <w:rsid w:val="723942F4"/>
    <w:rsid w:val="726B2544"/>
    <w:rsid w:val="7271224F"/>
    <w:rsid w:val="72850EF0"/>
    <w:rsid w:val="72B53C3D"/>
    <w:rsid w:val="72B95EC7"/>
    <w:rsid w:val="72CD4B67"/>
    <w:rsid w:val="72D5231E"/>
    <w:rsid w:val="72D92B78"/>
    <w:rsid w:val="72E826C1"/>
    <w:rsid w:val="72F21524"/>
    <w:rsid w:val="73085C46"/>
    <w:rsid w:val="73100AD4"/>
    <w:rsid w:val="73206308"/>
    <w:rsid w:val="73365490"/>
    <w:rsid w:val="73601B58"/>
    <w:rsid w:val="736D6C6F"/>
    <w:rsid w:val="7383224A"/>
    <w:rsid w:val="73A40900"/>
    <w:rsid w:val="73A81F4C"/>
    <w:rsid w:val="73D00F12"/>
    <w:rsid w:val="73F445CA"/>
    <w:rsid w:val="73FB3F54"/>
    <w:rsid w:val="740500E7"/>
    <w:rsid w:val="743F1583"/>
    <w:rsid w:val="744A79EB"/>
    <w:rsid w:val="74516EE3"/>
    <w:rsid w:val="74674908"/>
    <w:rsid w:val="749331CE"/>
    <w:rsid w:val="74A71E6F"/>
    <w:rsid w:val="74AD2A36"/>
    <w:rsid w:val="74B41184"/>
    <w:rsid w:val="74CE0028"/>
    <w:rsid w:val="74E032CD"/>
    <w:rsid w:val="74E474F8"/>
    <w:rsid w:val="74EF64AB"/>
    <w:rsid w:val="75016280"/>
    <w:rsid w:val="751341F4"/>
    <w:rsid w:val="75144A21"/>
    <w:rsid w:val="752124FA"/>
    <w:rsid w:val="753B48E1"/>
    <w:rsid w:val="754C03FE"/>
    <w:rsid w:val="755B0018"/>
    <w:rsid w:val="757A7C49"/>
    <w:rsid w:val="75A442B7"/>
    <w:rsid w:val="75AF7317"/>
    <w:rsid w:val="75D516D7"/>
    <w:rsid w:val="75F3408F"/>
    <w:rsid w:val="76041DAB"/>
    <w:rsid w:val="760B53B8"/>
    <w:rsid w:val="7634617E"/>
    <w:rsid w:val="76394804"/>
    <w:rsid w:val="763A6A7E"/>
    <w:rsid w:val="765353AD"/>
    <w:rsid w:val="766C04D6"/>
    <w:rsid w:val="76B61BCF"/>
    <w:rsid w:val="76D02779"/>
    <w:rsid w:val="76D46C00"/>
    <w:rsid w:val="76FA6E40"/>
    <w:rsid w:val="771222E8"/>
    <w:rsid w:val="77460CC4"/>
    <w:rsid w:val="77602068"/>
    <w:rsid w:val="77975E13"/>
    <w:rsid w:val="779E40CB"/>
    <w:rsid w:val="77BF3706"/>
    <w:rsid w:val="77D24925"/>
    <w:rsid w:val="77F90F61"/>
    <w:rsid w:val="77FB2266"/>
    <w:rsid w:val="780A4A7F"/>
    <w:rsid w:val="78252F42"/>
    <w:rsid w:val="784B32EA"/>
    <w:rsid w:val="78511348"/>
    <w:rsid w:val="788159C2"/>
    <w:rsid w:val="78863283"/>
    <w:rsid w:val="78C86137"/>
    <w:rsid w:val="78F114F9"/>
    <w:rsid w:val="790871AC"/>
    <w:rsid w:val="791668EE"/>
    <w:rsid w:val="793144E1"/>
    <w:rsid w:val="793F48BF"/>
    <w:rsid w:val="7968023E"/>
    <w:rsid w:val="797B145D"/>
    <w:rsid w:val="79A44820"/>
    <w:rsid w:val="79CE7BE3"/>
    <w:rsid w:val="79D05B0E"/>
    <w:rsid w:val="79DD7C96"/>
    <w:rsid w:val="79EF62EF"/>
    <w:rsid w:val="79F842AA"/>
    <w:rsid w:val="7A026DB8"/>
    <w:rsid w:val="7A047264"/>
    <w:rsid w:val="7A071041"/>
    <w:rsid w:val="7A1F1D95"/>
    <w:rsid w:val="7A327907"/>
    <w:rsid w:val="7A4D36F9"/>
    <w:rsid w:val="7AAB1B4F"/>
    <w:rsid w:val="7ACF29F8"/>
    <w:rsid w:val="7AD258DE"/>
    <w:rsid w:val="7AF45447"/>
    <w:rsid w:val="7B1E67B3"/>
    <w:rsid w:val="7B297563"/>
    <w:rsid w:val="7B2B5921"/>
    <w:rsid w:val="7B455E48"/>
    <w:rsid w:val="7B5C3B71"/>
    <w:rsid w:val="7B653CFD"/>
    <w:rsid w:val="7BCE2BAB"/>
    <w:rsid w:val="7BE0414B"/>
    <w:rsid w:val="7C502F40"/>
    <w:rsid w:val="7C594E6C"/>
    <w:rsid w:val="7C7E4ECE"/>
    <w:rsid w:val="7C913F6E"/>
    <w:rsid w:val="7CB0319E"/>
    <w:rsid w:val="7CF2748B"/>
    <w:rsid w:val="7D0D71DB"/>
    <w:rsid w:val="7D890C83"/>
    <w:rsid w:val="7DA14823"/>
    <w:rsid w:val="7DC70768"/>
    <w:rsid w:val="7DD65E4C"/>
    <w:rsid w:val="7E094A54"/>
    <w:rsid w:val="7E1C2628"/>
    <w:rsid w:val="7E4F7C70"/>
    <w:rsid w:val="7E921135"/>
    <w:rsid w:val="7E9B7847"/>
    <w:rsid w:val="7EA11750"/>
    <w:rsid w:val="7EAB6BB0"/>
    <w:rsid w:val="7EAD7761"/>
    <w:rsid w:val="7EBC1F79"/>
    <w:rsid w:val="7EC37706"/>
    <w:rsid w:val="7ECB6D11"/>
    <w:rsid w:val="7ED2669C"/>
    <w:rsid w:val="7EDB4DAD"/>
    <w:rsid w:val="7EE37C3B"/>
    <w:rsid w:val="7EEB5927"/>
    <w:rsid w:val="7F0B0898"/>
    <w:rsid w:val="7F2E4837"/>
    <w:rsid w:val="7F3C1D9C"/>
    <w:rsid w:val="7F695915"/>
    <w:rsid w:val="7F7122D0"/>
    <w:rsid w:val="7F9B10FB"/>
    <w:rsid w:val="7FD065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iPriority="99" w:name="Body Text Indent 2"/>
    <w:lsdException w:qFormat="1" w:unhideWhenUsed="0"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en-US"/>
    </w:rPr>
  </w:style>
  <w:style w:type="paragraph" w:styleId="2">
    <w:name w:val="heading 1"/>
    <w:basedOn w:val="3"/>
    <w:next w:val="1"/>
    <w:link w:val="53"/>
    <w:qFormat/>
    <w:uiPriority w:val="0"/>
    <w:pPr>
      <w:spacing w:before="120" w:after="0" w:line="240" w:lineRule="auto"/>
      <w:contextualSpacing/>
      <w:jc w:val="center"/>
      <w:outlineLvl w:val="0"/>
    </w:pPr>
    <w:rPr>
      <w:rFonts w:eastAsia="方正小标宋简体" w:asciiTheme="majorAscii" w:hAnsiTheme="majorAscii"/>
      <w:b/>
      <w:bCs/>
      <w:sz w:val="36"/>
      <w:szCs w:val="28"/>
      <w:lang w:eastAsia="zh-CN"/>
    </w:rPr>
  </w:style>
  <w:style w:type="paragraph" w:styleId="4">
    <w:name w:val="heading 2"/>
    <w:basedOn w:val="1"/>
    <w:next w:val="1"/>
    <w:link w:val="51"/>
    <w:unhideWhenUsed/>
    <w:qFormat/>
    <w:uiPriority w:val="0"/>
    <w:pPr>
      <w:spacing w:before="200" w:line="240" w:lineRule="auto"/>
      <w:outlineLvl w:val="1"/>
    </w:pPr>
    <w:rPr>
      <w:rFonts w:eastAsia="方正黑体_GBK" w:asciiTheme="majorAscii" w:hAnsiTheme="majorAscii" w:cstheme="majorBidi"/>
      <w:bCs/>
      <w:sz w:val="32"/>
      <w:szCs w:val="26"/>
    </w:rPr>
  </w:style>
  <w:style w:type="paragraph" w:styleId="5">
    <w:name w:val="heading 3"/>
    <w:basedOn w:val="1"/>
    <w:next w:val="1"/>
    <w:link w:val="52"/>
    <w:unhideWhenUsed/>
    <w:qFormat/>
    <w:uiPriority w:val="0"/>
    <w:pPr>
      <w:spacing w:line="360" w:lineRule="auto"/>
      <w:outlineLvl w:val="2"/>
    </w:pPr>
    <w:rPr>
      <w:rFonts w:eastAsia="方正楷体_GBK" w:asciiTheme="majorAscii" w:hAnsiTheme="majorAscii" w:cstheme="majorBidi"/>
      <w:b/>
      <w:bCs/>
      <w:sz w:val="30"/>
    </w:rPr>
  </w:style>
  <w:style w:type="paragraph" w:styleId="6">
    <w:name w:val="heading 4"/>
    <w:basedOn w:val="1"/>
    <w:next w:val="1"/>
    <w:link w:val="85"/>
    <w:unhideWhenUsed/>
    <w:qFormat/>
    <w:uiPriority w:val="0"/>
    <w:pPr>
      <w:spacing w:before="200" w:after="0"/>
      <w:outlineLvl w:val="3"/>
    </w:pPr>
    <w:rPr>
      <w:rFonts w:asciiTheme="majorHAnsi" w:hAnsiTheme="majorHAnsi" w:eastAsiaTheme="majorEastAsia" w:cstheme="majorBidi"/>
      <w:b/>
      <w:bCs/>
      <w:i/>
      <w:iCs/>
    </w:rPr>
  </w:style>
  <w:style w:type="paragraph" w:styleId="7">
    <w:name w:val="heading 5"/>
    <w:basedOn w:val="1"/>
    <w:next w:val="1"/>
    <w:link w:val="86"/>
    <w:unhideWhenUsed/>
    <w:qFormat/>
    <w:uiPriority w:val="9"/>
    <w:pPr>
      <w:spacing w:before="200" w:after="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8">
    <w:name w:val="heading 6"/>
    <w:basedOn w:val="1"/>
    <w:next w:val="1"/>
    <w:link w:val="87"/>
    <w:unhideWhenUsed/>
    <w:qFormat/>
    <w:uiPriority w:val="9"/>
    <w:pPr>
      <w:spacing w:after="0" w:line="271" w:lineRule="auto"/>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9">
    <w:name w:val="heading 7"/>
    <w:basedOn w:val="1"/>
    <w:next w:val="1"/>
    <w:link w:val="88"/>
    <w:unhideWhenUsed/>
    <w:qFormat/>
    <w:uiPriority w:val="9"/>
    <w:pPr>
      <w:spacing w:after="0"/>
      <w:outlineLvl w:val="6"/>
    </w:pPr>
    <w:rPr>
      <w:rFonts w:asciiTheme="majorHAnsi" w:hAnsiTheme="majorHAnsi" w:eastAsiaTheme="majorEastAsia" w:cstheme="majorBidi"/>
      <w:i/>
      <w:iCs/>
    </w:rPr>
  </w:style>
  <w:style w:type="paragraph" w:styleId="10">
    <w:name w:val="heading 8"/>
    <w:basedOn w:val="1"/>
    <w:next w:val="1"/>
    <w:link w:val="89"/>
    <w:unhideWhenUsed/>
    <w:qFormat/>
    <w:uiPriority w:val="9"/>
    <w:pPr>
      <w:spacing w:after="0"/>
      <w:outlineLvl w:val="7"/>
    </w:pPr>
    <w:rPr>
      <w:rFonts w:asciiTheme="majorHAnsi" w:hAnsiTheme="majorHAnsi" w:eastAsiaTheme="majorEastAsia" w:cstheme="majorBidi"/>
      <w:sz w:val="20"/>
      <w:szCs w:val="20"/>
    </w:rPr>
  </w:style>
  <w:style w:type="paragraph" w:styleId="11">
    <w:name w:val="heading 9"/>
    <w:basedOn w:val="1"/>
    <w:next w:val="1"/>
    <w:link w:val="90"/>
    <w:unhideWhenUsed/>
    <w:qFormat/>
    <w:uiPriority w:val="9"/>
    <w:pPr>
      <w:spacing w:after="0"/>
      <w:outlineLvl w:val="8"/>
    </w:pPr>
    <w:rPr>
      <w:rFonts w:asciiTheme="majorHAnsi" w:hAnsiTheme="majorHAnsi" w:eastAsiaTheme="majorEastAsia" w:cstheme="majorBidi"/>
      <w:i/>
      <w:iCs/>
      <w:spacing w:val="5"/>
      <w:sz w:val="20"/>
      <w:szCs w:val="20"/>
    </w:rPr>
  </w:style>
  <w:style w:type="character" w:default="1" w:styleId="38">
    <w:name w:val="Default Paragraph Font"/>
    <w:link w:val="39"/>
    <w:semiHidden/>
    <w:unhideWhenUsed/>
    <w:qFormat/>
    <w:uiPriority w:val="1"/>
    <w:rPr>
      <w:rFonts w:eastAsia="仿宋_GB2312" w:cs="宋体"/>
      <w:sz w:val="24"/>
    </w:rPr>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91"/>
    <w:qFormat/>
    <w:uiPriority w:val="10"/>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paragraph" w:styleId="12">
    <w:name w:val="toc 7"/>
    <w:basedOn w:val="1"/>
    <w:next w:val="1"/>
    <w:unhideWhenUsed/>
    <w:qFormat/>
    <w:uiPriority w:val="39"/>
    <w:pPr>
      <w:ind w:left="2520" w:leftChars="1200"/>
    </w:pPr>
  </w:style>
  <w:style w:type="paragraph" w:styleId="13">
    <w:name w:val="Note Heading"/>
    <w:next w:val="1"/>
    <w:qFormat/>
    <w:uiPriority w:val="0"/>
    <w:pPr>
      <w:widowControl w:val="0"/>
      <w:jc w:val="center"/>
    </w:pPr>
    <w:rPr>
      <w:rFonts w:ascii="Calibri" w:hAnsi="Calibri" w:eastAsia="宋体" w:cs="Times New Roman"/>
      <w:kern w:val="2"/>
      <w:sz w:val="21"/>
      <w:szCs w:val="24"/>
      <w:lang w:val="en-US" w:eastAsia="zh-CN" w:bidi="ar-SA"/>
    </w:rPr>
  </w:style>
  <w:style w:type="paragraph" w:styleId="14">
    <w:name w:val="Normal Indent"/>
    <w:basedOn w:val="1"/>
    <w:next w:val="1"/>
    <w:qFormat/>
    <w:uiPriority w:val="0"/>
    <w:pPr>
      <w:widowControl w:val="0"/>
      <w:autoSpaceDE w:val="0"/>
      <w:autoSpaceDN w:val="0"/>
      <w:spacing w:after="0" w:line="540" w:lineRule="exact"/>
      <w:ind w:firstLine="624"/>
      <w:jc w:val="both"/>
    </w:pPr>
    <w:rPr>
      <w:rFonts w:ascii="Times New Roman" w:hAnsi="Times New Roman" w:eastAsia="仿宋_GB2312" w:cs="Times New Roman"/>
      <w:snapToGrid w:val="0"/>
      <w:spacing w:val="5"/>
      <w:sz w:val="28"/>
      <w:szCs w:val="20"/>
      <w:lang w:eastAsia="zh-CN" w:bidi="ar-SA"/>
    </w:rPr>
  </w:style>
  <w:style w:type="paragraph" w:styleId="15">
    <w:name w:val="caption"/>
    <w:basedOn w:val="1"/>
    <w:next w:val="1"/>
    <w:qFormat/>
    <w:uiPriority w:val="0"/>
    <w:rPr>
      <w:rFonts w:ascii="Arial" w:hAnsi="Arial" w:eastAsia="黑体" w:cs="Arial"/>
      <w:sz w:val="20"/>
    </w:rPr>
  </w:style>
  <w:style w:type="paragraph" w:styleId="16">
    <w:name w:val="Document Map"/>
    <w:basedOn w:val="1"/>
    <w:link w:val="58"/>
    <w:unhideWhenUsed/>
    <w:qFormat/>
    <w:uiPriority w:val="0"/>
    <w:rPr>
      <w:rFonts w:ascii="宋体"/>
      <w:sz w:val="18"/>
      <w:szCs w:val="18"/>
    </w:rPr>
  </w:style>
  <w:style w:type="paragraph" w:styleId="17">
    <w:name w:val="Body Text"/>
    <w:next w:val="1"/>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18">
    <w:name w:val="Body Text Indent"/>
    <w:basedOn w:val="1"/>
    <w:unhideWhenUsed/>
    <w:qFormat/>
    <w:uiPriority w:val="99"/>
    <w:pPr>
      <w:ind w:firstLine="63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0"/>
    <w:pPr>
      <w:ind w:left="840" w:leftChars="400"/>
    </w:pPr>
  </w:style>
  <w:style w:type="paragraph" w:styleId="21">
    <w:name w:val="Plain Text"/>
    <w:basedOn w:val="1"/>
    <w:link w:val="183"/>
    <w:qFormat/>
    <w:uiPriority w:val="0"/>
    <w:rPr>
      <w:rFonts w:ascii="宋体" w:hAnsi="Courier New"/>
      <w:szCs w:val="20"/>
    </w:rPr>
  </w:style>
  <w:style w:type="paragraph" w:styleId="22">
    <w:name w:val="toc 8"/>
    <w:basedOn w:val="1"/>
    <w:next w:val="1"/>
    <w:unhideWhenUsed/>
    <w:qFormat/>
    <w:uiPriority w:val="39"/>
    <w:pPr>
      <w:ind w:left="2940" w:leftChars="1400"/>
    </w:pPr>
  </w:style>
  <w:style w:type="paragraph" w:styleId="23">
    <w:name w:val="Date"/>
    <w:basedOn w:val="1"/>
    <w:next w:val="1"/>
    <w:link w:val="72"/>
    <w:semiHidden/>
    <w:unhideWhenUsed/>
    <w:qFormat/>
    <w:uiPriority w:val="99"/>
    <w:pPr>
      <w:ind w:left="100" w:leftChars="2500"/>
    </w:pPr>
  </w:style>
  <w:style w:type="paragraph" w:styleId="24">
    <w:name w:val="Body Text Indent 2"/>
    <w:basedOn w:val="1"/>
    <w:link w:val="109"/>
    <w:semiHidden/>
    <w:unhideWhenUsed/>
    <w:qFormat/>
    <w:uiPriority w:val="99"/>
    <w:pPr>
      <w:spacing w:after="120" w:line="480" w:lineRule="auto"/>
      <w:ind w:left="420" w:leftChars="200"/>
    </w:pPr>
  </w:style>
  <w:style w:type="paragraph" w:styleId="25">
    <w:name w:val="Balloon Text"/>
    <w:basedOn w:val="1"/>
    <w:link w:val="73"/>
    <w:unhideWhenUsed/>
    <w:qFormat/>
    <w:uiPriority w:val="0"/>
    <w:rPr>
      <w:sz w:val="18"/>
      <w:szCs w:val="18"/>
    </w:rPr>
  </w:style>
  <w:style w:type="paragraph" w:styleId="26">
    <w:name w:val="footer"/>
    <w:basedOn w:val="1"/>
    <w:link w:val="81"/>
    <w:qFormat/>
    <w:uiPriority w:val="0"/>
    <w:pPr>
      <w:tabs>
        <w:tab w:val="center" w:pos="4153"/>
        <w:tab w:val="right" w:pos="8306"/>
      </w:tabs>
      <w:snapToGrid w:val="0"/>
    </w:pPr>
    <w:rPr>
      <w:sz w:val="18"/>
    </w:rPr>
  </w:style>
  <w:style w:type="paragraph" w:styleId="27">
    <w:name w:val="header"/>
    <w:basedOn w:val="1"/>
    <w:link w:val="1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Subtitle"/>
    <w:basedOn w:val="1"/>
    <w:next w:val="1"/>
    <w:link w:val="92"/>
    <w:qFormat/>
    <w:uiPriority w:val="11"/>
    <w:pPr>
      <w:spacing w:after="600"/>
    </w:pPr>
    <w:rPr>
      <w:rFonts w:asciiTheme="majorHAnsi" w:hAnsiTheme="majorHAnsi" w:eastAsiaTheme="majorEastAsia" w:cstheme="majorBidi"/>
      <w:i/>
      <w:iCs/>
      <w:spacing w:val="13"/>
      <w:sz w:val="24"/>
      <w:szCs w:val="24"/>
    </w:rPr>
  </w:style>
  <w:style w:type="paragraph" w:styleId="31">
    <w:name w:val="toc 6"/>
    <w:basedOn w:val="1"/>
    <w:next w:val="1"/>
    <w:unhideWhenUsed/>
    <w:qFormat/>
    <w:uiPriority w:val="39"/>
    <w:pPr>
      <w:ind w:left="2100" w:leftChars="1000"/>
    </w:pPr>
  </w:style>
  <w:style w:type="paragraph" w:styleId="32">
    <w:name w:val="Body Text Indent 3"/>
    <w:qFormat/>
    <w:uiPriority w:val="0"/>
    <w:pPr>
      <w:widowControl w:val="0"/>
      <w:spacing w:line="520" w:lineRule="exact"/>
      <w:ind w:firstLine="560" w:firstLineChars="200"/>
      <w:jc w:val="both"/>
    </w:pPr>
    <w:rPr>
      <w:rFonts w:ascii="Calibri" w:hAnsi="Calibri" w:eastAsia="宋体" w:cs="Times New Roman"/>
      <w:kern w:val="2"/>
      <w:sz w:val="28"/>
      <w:szCs w:val="24"/>
      <w:lang w:val="en-US" w:eastAsia="zh-CN" w:bidi="ar-SA"/>
    </w:r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ind w:left="3360" w:leftChars="1600"/>
    </w:pPr>
  </w:style>
  <w:style w:type="paragraph" w:styleId="35">
    <w:name w:val="Normal (Web)"/>
    <w:basedOn w:val="1"/>
    <w:unhideWhenUsed/>
    <w:qFormat/>
    <w:uiPriority w:val="99"/>
    <w:pPr>
      <w:spacing w:before="100" w:beforeAutospacing="1" w:after="100" w:afterAutospacing="1"/>
    </w:pPr>
    <w:rPr>
      <w:sz w:val="24"/>
    </w:rPr>
  </w:style>
  <w:style w:type="table" w:styleId="37">
    <w:name w:val="Table Grid"/>
    <w:basedOn w:val="36"/>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Char Char"/>
    <w:basedOn w:val="1"/>
    <w:link w:val="38"/>
    <w:qFormat/>
    <w:uiPriority w:val="0"/>
    <w:pPr>
      <w:tabs>
        <w:tab w:val="left" w:pos="360"/>
      </w:tabs>
      <w:snapToGrid w:val="0"/>
      <w:spacing w:line="360" w:lineRule="auto"/>
    </w:pPr>
    <w:rPr>
      <w:rFonts w:eastAsia="仿宋_GB2312" w:cs="宋体"/>
      <w:sz w:val="24"/>
    </w:rPr>
  </w:style>
  <w:style w:type="character" w:styleId="40">
    <w:name w:val="Strong"/>
    <w:qFormat/>
    <w:uiPriority w:val="0"/>
    <w:rPr>
      <w:b/>
      <w:bCs/>
    </w:rPr>
  </w:style>
  <w:style w:type="character" w:styleId="41">
    <w:name w:val="page number"/>
    <w:basedOn w:val="38"/>
    <w:unhideWhenUsed/>
    <w:qFormat/>
    <w:uiPriority w:val="0"/>
  </w:style>
  <w:style w:type="character" w:styleId="42">
    <w:name w:val="FollowedHyperlink"/>
    <w:basedOn w:val="38"/>
    <w:unhideWhenUsed/>
    <w:qFormat/>
    <w:uiPriority w:val="0"/>
    <w:rPr>
      <w:color w:val="338DE6"/>
      <w:u w:val="none"/>
    </w:rPr>
  </w:style>
  <w:style w:type="character" w:styleId="43">
    <w:name w:val="Emphasis"/>
    <w:qFormat/>
    <w:uiPriority w:val="20"/>
    <w:rPr>
      <w:b/>
      <w:bCs/>
      <w:i/>
      <w:iCs/>
      <w:spacing w:val="10"/>
      <w:shd w:val="clear" w:color="auto" w:fill="auto"/>
    </w:rPr>
  </w:style>
  <w:style w:type="character" w:styleId="44">
    <w:name w:val="HTML Definition"/>
    <w:basedOn w:val="38"/>
    <w:unhideWhenUsed/>
    <w:qFormat/>
    <w:uiPriority w:val="99"/>
  </w:style>
  <w:style w:type="character" w:styleId="45">
    <w:name w:val="HTML Variable"/>
    <w:basedOn w:val="38"/>
    <w:unhideWhenUsed/>
    <w:qFormat/>
    <w:uiPriority w:val="99"/>
  </w:style>
  <w:style w:type="character" w:styleId="46">
    <w:name w:val="Hyperlink"/>
    <w:basedOn w:val="38"/>
    <w:unhideWhenUsed/>
    <w:qFormat/>
    <w:uiPriority w:val="99"/>
    <w:rPr>
      <w:color w:val="338DE6"/>
      <w:u w:val="none"/>
    </w:rPr>
  </w:style>
  <w:style w:type="character" w:styleId="47">
    <w:name w:val="HTML Code"/>
    <w:basedOn w:val="38"/>
    <w:unhideWhenUsed/>
    <w:qFormat/>
    <w:uiPriority w:val="99"/>
    <w:rPr>
      <w:rFonts w:ascii="monospace" w:hAnsi="monospace" w:eastAsia="monospace" w:cs="monospace"/>
      <w:sz w:val="21"/>
      <w:szCs w:val="21"/>
    </w:rPr>
  </w:style>
  <w:style w:type="character" w:styleId="48">
    <w:name w:val="HTML Cite"/>
    <w:basedOn w:val="38"/>
    <w:unhideWhenUsed/>
    <w:qFormat/>
    <w:uiPriority w:val="99"/>
  </w:style>
  <w:style w:type="character" w:styleId="49">
    <w:name w:val="HTML Keyboard"/>
    <w:basedOn w:val="38"/>
    <w:unhideWhenUsed/>
    <w:qFormat/>
    <w:uiPriority w:val="99"/>
    <w:rPr>
      <w:rFonts w:hint="default" w:ascii="monospace" w:hAnsi="monospace" w:eastAsia="monospace" w:cs="monospace"/>
      <w:sz w:val="21"/>
      <w:szCs w:val="21"/>
    </w:rPr>
  </w:style>
  <w:style w:type="character" w:styleId="50">
    <w:name w:val="HTML Sample"/>
    <w:basedOn w:val="38"/>
    <w:unhideWhenUsed/>
    <w:qFormat/>
    <w:uiPriority w:val="99"/>
    <w:rPr>
      <w:rFonts w:hint="default" w:ascii="monospace" w:hAnsi="monospace" w:eastAsia="monospace" w:cs="monospace"/>
      <w:sz w:val="21"/>
      <w:szCs w:val="21"/>
    </w:rPr>
  </w:style>
  <w:style w:type="character" w:customStyle="1" w:styleId="51">
    <w:name w:val="标题 2 Char"/>
    <w:basedOn w:val="38"/>
    <w:link w:val="4"/>
    <w:qFormat/>
    <w:uiPriority w:val="0"/>
    <w:rPr>
      <w:rFonts w:eastAsia="方正黑体_GBK" w:asciiTheme="majorAscii" w:hAnsiTheme="majorAscii" w:cstheme="majorBidi"/>
      <w:bCs/>
      <w:sz w:val="32"/>
      <w:szCs w:val="26"/>
    </w:rPr>
  </w:style>
  <w:style w:type="character" w:customStyle="1" w:styleId="52">
    <w:name w:val="标题 3 Char"/>
    <w:basedOn w:val="38"/>
    <w:link w:val="5"/>
    <w:qFormat/>
    <w:uiPriority w:val="0"/>
    <w:rPr>
      <w:rFonts w:eastAsia="方正楷体_GBK" w:asciiTheme="majorAscii" w:hAnsiTheme="majorAscii" w:cstheme="majorBidi"/>
      <w:b/>
      <w:bCs/>
      <w:sz w:val="30"/>
    </w:rPr>
  </w:style>
  <w:style w:type="character" w:customStyle="1" w:styleId="53">
    <w:name w:val="标题 1 Char"/>
    <w:link w:val="2"/>
    <w:qFormat/>
    <w:uiPriority w:val="0"/>
    <w:rPr>
      <w:rFonts w:eastAsia="方正小标宋简体" w:asciiTheme="majorAscii" w:hAnsiTheme="majorAscii" w:cstheme="majorBidi"/>
      <w:b/>
      <w:bCs/>
      <w:sz w:val="36"/>
      <w:szCs w:val="28"/>
      <w:lang w:val="en-US" w:eastAsia="zh-CN" w:bidi="en-US"/>
    </w:rPr>
  </w:style>
  <w:style w:type="character" w:customStyle="1" w:styleId="54">
    <w:name w:val="artmanage"/>
    <w:basedOn w:val="38"/>
    <w:qFormat/>
    <w:uiPriority w:val="0"/>
    <w:rPr>
      <w:color w:val="999999"/>
      <w:sz w:val="18"/>
      <w:szCs w:val="18"/>
    </w:rPr>
  </w:style>
  <w:style w:type="character" w:customStyle="1" w:styleId="55">
    <w:name w:val="fontborder"/>
    <w:basedOn w:val="38"/>
    <w:qFormat/>
    <w:uiPriority w:val="0"/>
    <w:rPr>
      <w:bdr w:val="single" w:color="000000" w:sz="6" w:space="0"/>
    </w:rPr>
  </w:style>
  <w:style w:type="character" w:customStyle="1" w:styleId="56">
    <w:name w:val="fontstrikethrough"/>
    <w:basedOn w:val="38"/>
    <w:qFormat/>
    <w:uiPriority w:val="0"/>
    <w:rPr>
      <w:strike/>
    </w:rPr>
  </w:style>
  <w:style w:type="character" w:customStyle="1" w:styleId="57">
    <w:name w:val="bsharetext"/>
    <w:basedOn w:val="38"/>
    <w:qFormat/>
    <w:uiPriority w:val="0"/>
  </w:style>
  <w:style w:type="character" w:customStyle="1" w:styleId="58">
    <w:name w:val="文档结构图 Char"/>
    <w:basedOn w:val="38"/>
    <w:link w:val="16"/>
    <w:qFormat/>
    <w:uiPriority w:val="0"/>
    <w:rPr>
      <w:rFonts w:ascii="宋体"/>
      <w:kern w:val="2"/>
      <w:sz w:val="18"/>
      <w:szCs w:val="18"/>
    </w:rPr>
  </w:style>
  <w:style w:type="character" w:customStyle="1" w:styleId="59">
    <w:name w:val="正文2 Char"/>
    <w:basedOn w:val="38"/>
    <w:link w:val="60"/>
    <w:qFormat/>
    <w:uiPriority w:val="0"/>
    <w:rPr>
      <w:kern w:val="2"/>
      <w:sz w:val="24"/>
      <w:szCs w:val="24"/>
    </w:rPr>
  </w:style>
  <w:style w:type="paragraph" w:customStyle="1" w:styleId="60">
    <w:name w:val="正文2"/>
    <w:basedOn w:val="1"/>
    <w:link w:val="59"/>
    <w:qFormat/>
    <w:uiPriority w:val="0"/>
    <w:pPr>
      <w:spacing w:line="360" w:lineRule="auto"/>
      <w:ind w:firstLine="200" w:firstLineChars="200"/>
    </w:pPr>
    <w:rPr>
      <w:sz w:val="24"/>
      <w:szCs w:val="24"/>
    </w:rPr>
  </w:style>
  <w:style w:type="character" w:customStyle="1" w:styleId="61">
    <w:name w:val="tip"/>
    <w:basedOn w:val="38"/>
    <w:qFormat/>
    <w:uiPriority w:val="0"/>
  </w:style>
  <w:style w:type="character" w:customStyle="1" w:styleId="62">
    <w:name w:val="pc_01"/>
    <w:basedOn w:val="38"/>
    <w:qFormat/>
    <w:uiPriority w:val="0"/>
    <w:rPr>
      <w:b/>
      <w:sz w:val="39"/>
      <w:szCs w:val="39"/>
    </w:rPr>
  </w:style>
  <w:style w:type="character" w:customStyle="1" w:styleId="63">
    <w:name w:val="pc_02"/>
    <w:basedOn w:val="38"/>
    <w:qFormat/>
    <w:uiPriority w:val="0"/>
    <w:rPr>
      <w:sz w:val="27"/>
      <w:szCs w:val="27"/>
    </w:rPr>
  </w:style>
  <w:style w:type="character" w:customStyle="1" w:styleId="64">
    <w:name w:val="look"/>
    <w:basedOn w:val="38"/>
    <w:qFormat/>
    <w:uiPriority w:val="0"/>
  </w:style>
  <w:style w:type="character" w:customStyle="1" w:styleId="65">
    <w:name w:val="ctright"/>
    <w:basedOn w:val="38"/>
    <w:qFormat/>
    <w:uiPriority w:val="0"/>
  </w:style>
  <w:style w:type="character" w:customStyle="1" w:styleId="66">
    <w:name w:val="blog_index"/>
    <w:basedOn w:val="38"/>
    <w:qFormat/>
    <w:uiPriority w:val="0"/>
  </w:style>
  <w:style w:type="character" w:customStyle="1" w:styleId="67">
    <w:name w:val="datetime"/>
    <w:basedOn w:val="38"/>
    <w:qFormat/>
    <w:uiPriority w:val="0"/>
    <w:rPr>
      <w:color w:val="666666"/>
    </w:rPr>
  </w:style>
  <w:style w:type="paragraph" w:customStyle="1" w:styleId="68">
    <w:name w:val="WPSOffice手动目录 2"/>
    <w:qFormat/>
    <w:uiPriority w:val="0"/>
    <w:pPr>
      <w:spacing w:after="200" w:line="276" w:lineRule="auto"/>
      <w:ind w:left="200" w:leftChars="200"/>
    </w:pPr>
    <w:rPr>
      <w:rFonts w:asciiTheme="minorHAnsi" w:hAnsiTheme="minorHAnsi" w:eastAsiaTheme="minorEastAsia" w:cstheme="minorBidi"/>
      <w:sz w:val="22"/>
      <w:szCs w:val="22"/>
      <w:lang w:val="en-US" w:eastAsia="en-US" w:bidi="en-US"/>
    </w:rPr>
  </w:style>
  <w:style w:type="paragraph" w:customStyle="1" w:styleId="69">
    <w:name w:val="WPSOffice手动目录 1"/>
    <w:qFormat/>
    <w:uiPriority w:val="0"/>
    <w:pPr>
      <w:spacing w:after="200" w:line="276" w:lineRule="auto"/>
    </w:pPr>
    <w:rPr>
      <w:rFonts w:asciiTheme="minorHAnsi" w:hAnsiTheme="minorHAnsi" w:eastAsiaTheme="minorEastAsia" w:cstheme="minorBidi"/>
      <w:sz w:val="22"/>
      <w:szCs w:val="22"/>
      <w:lang w:val="en-US" w:eastAsia="en-US" w:bidi="en-US"/>
    </w:rPr>
  </w:style>
  <w:style w:type="character" w:customStyle="1" w:styleId="70">
    <w:name w:val="正文 1 Char Char"/>
    <w:basedOn w:val="38"/>
    <w:link w:val="71"/>
    <w:qFormat/>
    <w:uiPriority w:val="0"/>
    <w:rPr>
      <w:kern w:val="2"/>
      <w:sz w:val="24"/>
      <w:lang w:bidi="ar-SA"/>
    </w:rPr>
  </w:style>
  <w:style w:type="paragraph" w:customStyle="1" w:styleId="71">
    <w:name w:val="正文 1"/>
    <w:basedOn w:val="1"/>
    <w:link w:val="70"/>
    <w:qFormat/>
    <w:uiPriority w:val="0"/>
    <w:pPr>
      <w:spacing w:line="440" w:lineRule="atLeast"/>
      <w:ind w:firstLine="510"/>
    </w:pPr>
    <w:rPr>
      <w:rFonts w:eastAsia="Times New Roman"/>
      <w:sz w:val="24"/>
    </w:rPr>
  </w:style>
  <w:style w:type="character" w:customStyle="1" w:styleId="72">
    <w:name w:val="日期 Char"/>
    <w:basedOn w:val="38"/>
    <w:link w:val="23"/>
    <w:semiHidden/>
    <w:qFormat/>
    <w:uiPriority w:val="99"/>
    <w:rPr>
      <w:kern w:val="2"/>
      <w:sz w:val="21"/>
    </w:rPr>
  </w:style>
  <w:style w:type="character" w:customStyle="1" w:styleId="73">
    <w:name w:val="批注框文本 Char"/>
    <w:basedOn w:val="38"/>
    <w:link w:val="25"/>
    <w:qFormat/>
    <w:uiPriority w:val="0"/>
    <w:rPr>
      <w:kern w:val="2"/>
      <w:sz w:val="18"/>
      <w:szCs w:val="18"/>
    </w:rPr>
  </w:style>
  <w:style w:type="paragraph" w:customStyle="1" w:styleId="74">
    <w:name w:val="xl67"/>
    <w:basedOn w:val="1"/>
    <w:qFormat/>
    <w:uiPriority w:val="0"/>
    <w:pPr>
      <w:spacing w:before="100" w:beforeAutospacing="1" w:after="100" w:afterAutospacing="1"/>
      <w:jc w:val="center"/>
    </w:pPr>
    <w:rPr>
      <w:rFonts w:ascii="宋体" w:hAnsi="宋体" w:cs="宋体"/>
      <w:sz w:val="20"/>
    </w:rPr>
  </w:style>
  <w:style w:type="paragraph" w:customStyle="1" w:styleId="75">
    <w:name w:val="xl68"/>
    <w:basedOn w:val="1"/>
    <w:qFormat/>
    <w:uiPriority w:val="0"/>
    <w:pPr>
      <w:spacing w:before="100" w:beforeAutospacing="1" w:after="100" w:afterAutospacing="1"/>
    </w:pPr>
    <w:rPr>
      <w:rFonts w:ascii="宋体" w:hAnsi="宋体" w:cs="宋体"/>
      <w:sz w:val="20"/>
    </w:rPr>
  </w:style>
  <w:style w:type="paragraph" w:customStyle="1" w:styleId="76">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16"/>
      <w:szCs w:val="16"/>
    </w:rPr>
  </w:style>
  <w:style w:type="paragraph" w:customStyle="1" w:styleId="77">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78">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 w:val="16"/>
      <w:szCs w:val="16"/>
    </w:rPr>
  </w:style>
  <w:style w:type="paragraph" w:customStyle="1" w:styleId="79">
    <w:name w:val="xl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80">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character" w:customStyle="1" w:styleId="81">
    <w:name w:val="页脚 Char"/>
    <w:basedOn w:val="38"/>
    <w:link w:val="26"/>
    <w:qFormat/>
    <w:uiPriority w:val="0"/>
    <w:rPr>
      <w:kern w:val="2"/>
      <w:sz w:val="18"/>
    </w:rPr>
  </w:style>
  <w:style w:type="paragraph" w:customStyle="1" w:styleId="82">
    <w:name w:val="4Z"/>
    <w:basedOn w:val="1"/>
    <w:qFormat/>
    <w:uiPriority w:val="0"/>
    <w:pPr>
      <w:adjustRightInd w:val="0"/>
      <w:snapToGrid w:val="0"/>
      <w:spacing w:line="360" w:lineRule="auto"/>
      <w:ind w:firstLine="200" w:firstLineChars="200"/>
    </w:pPr>
    <w:rPr>
      <w:snapToGrid w:val="0"/>
      <w:color w:val="000000"/>
      <w:sz w:val="24"/>
      <w:szCs w:val="24"/>
    </w:rPr>
  </w:style>
  <w:style w:type="paragraph" w:customStyle="1" w:styleId="83">
    <w:name w:val="表格 + 宋体 五号"/>
    <w:basedOn w:val="1"/>
    <w:link w:val="84"/>
    <w:qFormat/>
    <w:uiPriority w:val="0"/>
    <w:pPr>
      <w:adjustRightInd w:val="0"/>
      <w:snapToGrid w:val="0"/>
      <w:spacing w:before="60"/>
      <w:jc w:val="center"/>
    </w:pPr>
    <w:rPr>
      <w:rFonts w:ascii="宋体" w:hAnsi="宋体"/>
    </w:rPr>
  </w:style>
  <w:style w:type="character" w:customStyle="1" w:styleId="84">
    <w:name w:val="表格 + 宋体 五号 Char"/>
    <w:link w:val="83"/>
    <w:qFormat/>
    <w:uiPriority w:val="0"/>
    <w:rPr>
      <w:rFonts w:ascii="宋体" w:hAnsi="宋体"/>
      <w:sz w:val="21"/>
      <w:lang w:eastAsia="en-US" w:bidi="en-US"/>
    </w:rPr>
  </w:style>
  <w:style w:type="character" w:customStyle="1" w:styleId="85">
    <w:name w:val="标题 4 Char"/>
    <w:basedOn w:val="38"/>
    <w:link w:val="6"/>
    <w:qFormat/>
    <w:uiPriority w:val="0"/>
    <w:rPr>
      <w:rFonts w:asciiTheme="majorHAnsi" w:hAnsiTheme="majorHAnsi" w:eastAsiaTheme="majorEastAsia" w:cstheme="majorBidi"/>
      <w:b/>
      <w:bCs/>
      <w:i/>
      <w:iCs/>
    </w:rPr>
  </w:style>
  <w:style w:type="character" w:customStyle="1" w:styleId="86">
    <w:name w:val="标题 5 Char"/>
    <w:basedOn w:val="38"/>
    <w:link w:val="7"/>
    <w:qFormat/>
    <w:uiPriority w:val="9"/>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character" w:customStyle="1" w:styleId="87">
    <w:name w:val="标题 6 Char"/>
    <w:basedOn w:val="38"/>
    <w:link w:val="8"/>
    <w:qFormat/>
    <w:uiPriority w:val="9"/>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character" w:customStyle="1" w:styleId="88">
    <w:name w:val="标题 7 Char"/>
    <w:basedOn w:val="38"/>
    <w:link w:val="9"/>
    <w:qFormat/>
    <w:uiPriority w:val="9"/>
    <w:rPr>
      <w:rFonts w:asciiTheme="majorHAnsi" w:hAnsiTheme="majorHAnsi" w:eastAsiaTheme="majorEastAsia" w:cstheme="majorBidi"/>
      <w:i/>
      <w:iCs/>
    </w:rPr>
  </w:style>
  <w:style w:type="character" w:customStyle="1" w:styleId="89">
    <w:name w:val="标题 8 Char"/>
    <w:basedOn w:val="38"/>
    <w:link w:val="10"/>
    <w:qFormat/>
    <w:uiPriority w:val="9"/>
    <w:rPr>
      <w:rFonts w:asciiTheme="majorHAnsi" w:hAnsiTheme="majorHAnsi" w:eastAsiaTheme="majorEastAsia" w:cstheme="majorBidi"/>
      <w:sz w:val="20"/>
      <w:szCs w:val="20"/>
    </w:rPr>
  </w:style>
  <w:style w:type="character" w:customStyle="1" w:styleId="90">
    <w:name w:val="标题 9 Char"/>
    <w:basedOn w:val="38"/>
    <w:link w:val="11"/>
    <w:qFormat/>
    <w:uiPriority w:val="9"/>
    <w:rPr>
      <w:rFonts w:asciiTheme="majorHAnsi" w:hAnsiTheme="majorHAnsi" w:eastAsiaTheme="majorEastAsia" w:cstheme="majorBidi"/>
      <w:i/>
      <w:iCs/>
      <w:spacing w:val="5"/>
      <w:sz w:val="20"/>
      <w:szCs w:val="20"/>
    </w:rPr>
  </w:style>
  <w:style w:type="character" w:customStyle="1" w:styleId="91">
    <w:name w:val="标题 Char"/>
    <w:basedOn w:val="38"/>
    <w:link w:val="3"/>
    <w:qFormat/>
    <w:uiPriority w:val="10"/>
    <w:rPr>
      <w:rFonts w:asciiTheme="majorHAnsi" w:hAnsiTheme="majorHAnsi" w:eastAsiaTheme="majorEastAsia" w:cstheme="majorBidi"/>
      <w:spacing w:val="5"/>
      <w:sz w:val="52"/>
      <w:szCs w:val="52"/>
    </w:rPr>
  </w:style>
  <w:style w:type="character" w:customStyle="1" w:styleId="92">
    <w:name w:val="副标题 Char"/>
    <w:basedOn w:val="38"/>
    <w:link w:val="30"/>
    <w:qFormat/>
    <w:uiPriority w:val="11"/>
    <w:rPr>
      <w:rFonts w:asciiTheme="majorHAnsi" w:hAnsiTheme="majorHAnsi" w:eastAsiaTheme="majorEastAsia" w:cstheme="majorBidi"/>
      <w:i/>
      <w:iCs/>
      <w:spacing w:val="13"/>
      <w:sz w:val="24"/>
      <w:szCs w:val="24"/>
    </w:rPr>
  </w:style>
  <w:style w:type="paragraph" w:styleId="93">
    <w:name w:val="No Spacing"/>
    <w:basedOn w:val="1"/>
    <w:qFormat/>
    <w:uiPriority w:val="1"/>
    <w:pPr>
      <w:spacing w:after="0" w:line="240" w:lineRule="auto"/>
    </w:pPr>
  </w:style>
  <w:style w:type="paragraph" w:styleId="94">
    <w:name w:val="List Paragraph"/>
    <w:basedOn w:val="1"/>
    <w:qFormat/>
    <w:uiPriority w:val="0"/>
    <w:pPr>
      <w:ind w:left="720"/>
      <w:contextualSpacing/>
    </w:pPr>
  </w:style>
  <w:style w:type="paragraph" w:styleId="95">
    <w:name w:val="Quote"/>
    <w:basedOn w:val="1"/>
    <w:next w:val="1"/>
    <w:link w:val="96"/>
    <w:qFormat/>
    <w:uiPriority w:val="29"/>
    <w:pPr>
      <w:spacing w:before="200" w:after="0"/>
      <w:ind w:left="360" w:right="360"/>
    </w:pPr>
    <w:rPr>
      <w:i/>
      <w:iCs/>
    </w:rPr>
  </w:style>
  <w:style w:type="character" w:customStyle="1" w:styleId="96">
    <w:name w:val="引用 Char"/>
    <w:basedOn w:val="38"/>
    <w:link w:val="95"/>
    <w:qFormat/>
    <w:uiPriority w:val="29"/>
    <w:rPr>
      <w:i/>
      <w:iCs/>
    </w:rPr>
  </w:style>
  <w:style w:type="paragraph" w:styleId="97">
    <w:name w:val="Intense Quote"/>
    <w:basedOn w:val="1"/>
    <w:next w:val="1"/>
    <w:link w:val="98"/>
    <w:qFormat/>
    <w:uiPriority w:val="30"/>
    <w:pPr>
      <w:pBdr>
        <w:bottom w:val="single" w:color="auto" w:sz="4" w:space="1"/>
      </w:pBdr>
      <w:spacing w:before="200" w:after="280"/>
      <w:ind w:left="1008" w:right="1152"/>
      <w:jc w:val="both"/>
    </w:pPr>
    <w:rPr>
      <w:b/>
      <w:bCs/>
      <w:i/>
      <w:iCs/>
    </w:rPr>
  </w:style>
  <w:style w:type="character" w:customStyle="1" w:styleId="98">
    <w:name w:val="明显引用 Char"/>
    <w:basedOn w:val="38"/>
    <w:link w:val="97"/>
    <w:qFormat/>
    <w:uiPriority w:val="30"/>
    <w:rPr>
      <w:b/>
      <w:bCs/>
      <w:i/>
      <w:iCs/>
    </w:rPr>
  </w:style>
  <w:style w:type="character" w:customStyle="1" w:styleId="99">
    <w:name w:val="不明显强调1"/>
    <w:qFormat/>
    <w:uiPriority w:val="19"/>
    <w:rPr>
      <w:i/>
      <w:iCs/>
    </w:rPr>
  </w:style>
  <w:style w:type="character" w:customStyle="1" w:styleId="100">
    <w:name w:val="明显强调1"/>
    <w:qFormat/>
    <w:uiPriority w:val="21"/>
    <w:rPr>
      <w:b/>
      <w:bCs/>
    </w:rPr>
  </w:style>
  <w:style w:type="character" w:customStyle="1" w:styleId="101">
    <w:name w:val="不明显参考1"/>
    <w:qFormat/>
    <w:uiPriority w:val="31"/>
    <w:rPr>
      <w:smallCaps/>
    </w:rPr>
  </w:style>
  <w:style w:type="character" w:customStyle="1" w:styleId="102">
    <w:name w:val="明显参考1"/>
    <w:qFormat/>
    <w:uiPriority w:val="32"/>
    <w:rPr>
      <w:smallCaps/>
      <w:spacing w:val="5"/>
      <w:u w:val="single"/>
    </w:rPr>
  </w:style>
  <w:style w:type="character" w:customStyle="1" w:styleId="103">
    <w:name w:val="书籍标题1"/>
    <w:qFormat/>
    <w:uiPriority w:val="33"/>
    <w:rPr>
      <w:i/>
      <w:iCs/>
      <w:smallCaps/>
      <w:spacing w:val="5"/>
    </w:rPr>
  </w:style>
  <w:style w:type="paragraph" w:customStyle="1" w:styleId="104">
    <w:name w:val="TOC 标题1"/>
    <w:basedOn w:val="2"/>
    <w:next w:val="1"/>
    <w:semiHidden/>
    <w:unhideWhenUsed/>
    <w:qFormat/>
    <w:uiPriority w:val="39"/>
    <w:pPr>
      <w:outlineLvl w:val="9"/>
    </w:pPr>
  </w:style>
  <w:style w:type="character" w:customStyle="1" w:styleId="105">
    <w:name w:val="我的正文 Char Char"/>
    <w:basedOn w:val="38"/>
    <w:link w:val="106"/>
    <w:qFormat/>
    <w:uiPriority w:val="0"/>
    <w:rPr>
      <w:rFonts w:ascii="Times New Roman" w:hAnsi="Times New Roman" w:eastAsia="宋体" w:cs="Times New Roman"/>
      <w:sz w:val="24"/>
      <w:szCs w:val="24"/>
    </w:rPr>
  </w:style>
  <w:style w:type="paragraph" w:customStyle="1" w:styleId="106">
    <w:name w:val="我的正文"/>
    <w:basedOn w:val="1"/>
    <w:link w:val="105"/>
    <w:qFormat/>
    <w:uiPriority w:val="0"/>
    <w:pPr>
      <w:widowControl w:val="0"/>
      <w:spacing w:after="0" w:line="460" w:lineRule="exact"/>
      <w:ind w:firstLine="482" w:firstLineChars="200"/>
      <w:jc w:val="both"/>
    </w:pPr>
    <w:rPr>
      <w:rFonts w:ascii="Times New Roman" w:hAnsi="Times New Roman" w:eastAsia="宋体" w:cs="Times New Roman"/>
      <w:sz w:val="24"/>
      <w:szCs w:val="24"/>
    </w:rPr>
  </w:style>
  <w:style w:type="character" w:customStyle="1" w:styleId="107">
    <w:name w:val="textbig1"/>
    <w:qFormat/>
    <w:uiPriority w:val="0"/>
    <w:rPr>
      <w:sz w:val="18"/>
      <w:szCs w:val="18"/>
    </w:rPr>
  </w:style>
  <w:style w:type="paragraph" w:customStyle="1" w:styleId="108">
    <w:name w:val="样式2"/>
    <w:basedOn w:val="1"/>
    <w:qFormat/>
    <w:uiPriority w:val="0"/>
    <w:pPr>
      <w:widowControl w:val="0"/>
      <w:adjustRightInd w:val="0"/>
      <w:spacing w:after="0" w:line="240" w:lineRule="auto"/>
      <w:ind w:left="170"/>
      <w:textAlignment w:val="baseline"/>
    </w:pPr>
    <w:rPr>
      <w:rFonts w:ascii="Times New Roman" w:hAnsi="Times New Roman" w:eastAsia="宋体" w:cs="Times New Roman"/>
      <w:b/>
      <w:sz w:val="24"/>
      <w:szCs w:val="20"/>
      <w:lang w:eastAsia="zh-CN" w:bidi="ar-SA"/>
    </w:rPr>
  </w:style>
  <w:style w:type="character" w:customStyle="1" w:styleId="109">
    <w:name w:val="正文文本缩进 2 Char"/>
    <w:basedOn w:val="38"/>
    <w:link w:val="24"/>
    <w:semiHidden/>
    <w:qFormat/>
    <w:uiPriority w:val="99"/>
    <w:rPr>
      <w:rFonts w:asciiTheme="minorHAnsi" w:hAnsiTheme="minorHAnsi" w:eastAsiaTheme="minorEastAsia" w:cstheme="minorBidi"/>
      <w:sz w:val="22"/>
      <w:szCs w:val="22"/>
      <w:lang w:eastAsia="en-US" w:bidi="en-US"/>
    </w:rPr>
  </w:style>
  <w:style w:type="character" w:customStyle="1" w:styleId="110">
    <w:name w:val="文字 Char Char"/>
    <w:link w:val="111"/>
    <w:qFormat/>
    <w:uiPriority w:val="0"/>
    <w:rPr>
      <w:kern w:val="2"/>
      <w:sz w:val="28"/>
      <w:szCs w:val="28"/>
    </w:rPr>
  </w:style>
  <w:style w:type="paragraph" w:customStyle="1" w:styleId="111">
    <w:name w:val="文字"/>
    <w:basedOn w:val="1"/>
    <w:link w:val="110"/>
    <w:qFormat/>
    <w:uiPriority w:val="0"/>
    <w:pPr>
      <w:widowControl w:val="0"/>
      <w:autoSpaceDE w:val="0"/>
      <w:autoSpaceDN w:val="0"/>
      <w:spacing w:after="0" w:line="500" w:lineRule="atLeast"/>
      <w:ind w:firstLine="200" w:firstLineChars="200"/>
      <w:jc w:val="both"/>
    </w:pPr>
    <w:rPr>
      <w:rFonts w:ascii="Times New Roman" w:hAnsi="Times New Roman" w:eastAsia="宋体" w:cs="Times New Roman"/>
      <w:kern w:val="2"/>
      <w:sz w:val="28"/>
      <w:szCs w:val="28"/>
      <w:lang w:eastAsia="zh-CN" w:bidi="ar-SA"/>
    </w:rPr>
  </w:style>
  <w:style w:type="character" w:customStyle="1" w:styleId="112">
    <w:name w:val="表格 Char Char"/>
    <w:link w:val="113"/>
    <w:qFormat/>
    <w:uiPriority w:val="0"/>
    <w:rPr>
      <w:kern w:val="2"/>
      <w:sz w:val="18"/>
      <w:szCs w:val="22"/>
    </w:rPr>
  </w:style>
  <w:style w:type="paragraph" w:customStyle="1" w:styleId="113">
    <w:name w:val="表格"/>
    <w:basedOn w:val="1"/>
    <w:link w:val="112"/>
    <w:qFormat/>
    <w:uiPriority w:val="0"/>
    <w:pPr>
      <w:widowControl w:val="0"/>
      <w:spacing w:after="0" w:line="240" w:lineRule="atLeast"/>
      <w:jc w:val="both"/>
    </w:pPr>
    <w:rPr>
      <w:rFonts w:ascii="Times New Roman" w:hAnsi="Times New Roman" w:eastAsia="宋体" w:cs="Times New Roman"/>
      <w:kern w:val="2"/>
      <w:sz w:val="18"/>
      <w:lang w:eastAsia="zh-CN" w:bidi="ar-SA"/>
    </w:rPr>
  </w:style>
  <w:style w:type="character" w:customStyle="1" w:styleId="114">
    <w:name w:val="页眉 Char"/>
    <w:link w:val="27"/>
    <w:qFormat/>
    <w:uiPriority w:val="0"/>
    <w:rPr>
      <w:rFonts w:asciiTheme="minorHAnsi" w:hAnsiTheme="minorHAnsi" w:eastAsiaTheme="minorEastAsia" w:cstheme="minorBidi"/>
      <w:sz w:val="18"/>
      <w:szCs w:val="22"/>
      <w:lang w:eastAsia="en-US" w:bidi="en-US"/>
    </w:rPr>
  </w:style>
  <w:style w:type="paragraph" w:customStyle="1" w:styleId="115">
    <w:name w:val="xl97"/>
    <w:basedOn w:val="1"/>
    <w:qFormat/>
    <w:uiPriority w:val="0"/>
    <w:pPr>
      <w:pBdr>
        <w:bottom w:val="single" w:color="auto" w:sz="8" w:space="0"/>
      </w:pBdr>
      <w:shd w:val="clear" w:color="000000" w:fill="FFFFFF"/>
      <w:spacing w:before="100" w:beforeAutospacing="1" w:after="100" w:afterAutospacing="1" w:line="240" w:lineRule="auto"/>
      <w:jc w:val="center"/>
    </w:pPr>
    <w:rPr>
      <w:rFonts w:ascii="宋体" w:hAnsi="宋体" w:eastAsia="宋体" w:cs="宋体"/>
      <w:b/>
      <w:bCs/>
      <w:sz w:val="24"/>
      <w:szCs w:val="24"/>
      <w:lang w:eastAsia="zh-CN" w:bidi="ar-SA"/>
    </w:rPr>
  </w:style>
  <w:style w:type="paragraph" w:customStyle="1" w:styleId="116">
    <w:name w:val="font9"/>
    <w:basedOn w:val="1"/>
    <w:qFormat/>
    <w:uiPriority w:val="0"/>
    <w:pPr>
      <w:spacing w:before="100" w:beforeAutospacing="1" w:after="100" w:afterAutospacing="1" w:line="240" w:lineRule="auto"/>
    </w:pPr>
    <w:rPr>
      <w:rFonts w:ascii="宋体" w:hAnsi="宋体" w:eastAsia="宋体" w:cs="宋体"/>
      <w:b/>
      <w:bCs/>
      <w:color w:val="000000"/>
      <w:sz w:val="24"/>
      <w:szCs w:val="24"/>
      <w:lang w:eastAsia="zh-CN" w:bidi="ar-SA"/>
    </w:rPr>
  </w:style>
  <w:style w:type="paragraph" w:customStyle="1" w:styleId="117">
    <w:name w:val="xl66"/>
    <w:basedOn w:val="1"/>
    <w:qFormat/>
    <w:uiPriority w:val="0"/>
    <w:pPr>
      <w:pBdr>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18">
    <w:name w:val="xl82"/>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19">
    <w:name w:val="xl89"/>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color w:val="000000"/>
      <w:sz w:val="18"/>
      <w:szCs w:val="18"/>
      <w:lang w:eastAsia="zh-CN" w:bidi="ar-SA"/>
    </w:rPr>
  </w:style>
  <w:style w:type="paragraph" w:customStyle="1" w:styleId="120">
    <w:name w:val="xl76"/>
    <w:basedOn w:val="1"/>
    <w:qFormat/>
    <w:uiPriority w:val="0"/>
    <w:pPr>
      <w:pBdr>
        <w:bottom w:val="single" w:color="auto" w:sz="8" w:space="0"/>
        <w:right w:val="single" w:color="auto" w:sz="8" w:space="0"/>
      </w:pBdr>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1">
    <w:name w:val="font11"/>
    <w:basedOn w:val="1"/>
    <w:qFormat/>
    <w:uiPriority w:val="0"/>
    <w:pPr>
      <w:spacing w:before="100" w:beforeAutospacing="1" w:after="100" w:afterAutospacing="1" w:line="240" w:lineRule="auto"/>
    </w:pPr>
    <w:rPr>
      <w:rFonts w:ascii="Times New Roman" w:hAnsi="Times New Roman" w:eastAsia="宋体" w:cs="Times New Roman"/>
      <w:i/>
      <w:iCs/>
      <w:color w:val="000000"/>
      <w:sz w:val="18"/>
      <w:szCs w:val="18"/>
      <w:lang w:eastAsia="zh-CN" w:bidi="ar-SA"/>
    </w:rPr>
  </w:style>
  <w:style w:type="paragraph" w:customStyle="1" w:styleId="122">
    <w:name w:val="xl103"/>
    <w:basedOn w:val="1"/>
    <w:qFormat/>
    <w:uiPriority w:val="0"/>
    <w:pPr>
      <w:pBdr>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23">
    <w:name w:val="xl79"/>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宋体" w:hAnsi="宋体" w:eastAsia="宋体" w:cs="宋体"/>
      <w:sz w:val="18"/>
      <w:szCs w:val="18"/>
      <w:lang w:eastAsia="zh-CN" w:bidi="ar-SA"/>
    </w:rPr>
  </w:style>
  <w:style w:type="paragraph" w:customStyle="1" w:styleId="124">
    <w:name w:val="font8"/>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25">
    <w:name w:val="xl98"/>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6">
    <w:name w:val="桃江-正文 Char1"/>
    <w:basedOn w:val="1"/>
    <w:next w:val="1"/>
    <w:qFormat/>
    <w:uiPriority w:val="0"/>
    <w:pPr>
      <w:widowControl w:val="0"/>
      <w:spacing w:after="0" w:line="440" w:lineRule="exact"/>
      <w:ind w:firstLine="200" w:firstLineChars="200"/>
      <w:jc w:val="both"/>
    </w:pPr>
    <w:rPr>
      <w:rFonts w:ascii="Arial" w:hAnsi="Arial" w:eastAsia="华文细黑" w:cs="Times New Roman"/>
      <w:kern w:val="2"/>
      <w:sz w:val="21"/>
      <w:szCs w:val="20"/>
      <w:lang w:eastAsia="zh-CN" w:bidi="ar-SA"/>
    </w:rPr>
  </w:style>
  <w:style w:type="paragraph" w:customStyle="1" w:styleId="127">
    <w:name w:val="TOC 标题2"/>
    <w:basedOn w:val="2"/>
    <w:next w:val="1"/>
    <w:qFormat/>
    <w:uiPriority w:val="0"/>
    <w:pPr>
      <w:keepNext/>
      <w:keepLines/>
      <w:contextualSpacing w:val="0"/>
      <w:outlineLvl w:val="9"/>
    </w:pPr>
    <w:rPr>
      <w:rFonts w:ascii="Cambria" w:hAnsi="Cambria" w:eastAsia="宋体" w:cs="Times New Roman"/>
      <w:color w:val="365F91"/>
      <w:lang w:eastAsia="zh-CN" w:bidi="ar-SA"/>
    </w:rPr>
  </w:style>
  <w:style w:type="paragraph" w:customStyle="1" w:styleId="128">
    <w:name w:val="111111"/>
    <w:basedOn w:val="2"/>
    <w:qFormat/>
    <w:uiPriority w:val="0"/>
    <w:pPr>
      <w:keepNext/>
      <w:keepLines/>
      <w:widowControl w:val="0"/>
      <w:spacing w:before="0" w:after="120" w:line="460" w:lineRule="atLeast"/>
      <w:ind w:firstLine="200" w:firstLineChars="200"/>
      <w:contextualSpacing w:val="0"/>
      <w:jc w:val="center"/>
    </w:pPr>
    <w:rPr>
      <w:rFonts w:ascii="Times New Roman" w:hAnsi="Times New Roman" w:eastAsia="黑体" w:cs="Times New Roman"/>
      <w:b w:val="0"/>
      <w:color w:val="000000"/>
      <w:kern w:val="44"/>
      <w:sz w:val="32"/>
      <w:szCs w:val="32"/>
      <w:lang w:eastAsia="zh-CN" w:bidi="ar-SA"/>
    </w:rPr>
  </w:style>
  <w:style w:type="paragraph" w:customStyle="1" w:styleId="129">
    <w:name w:val="font7"/>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30">
    <w:name w:val="xl81"/>
    <w:basedOn w:val="1"/>
    <w:qFormat/>
    <w:uiPriority w:val="0"/>
    <w:pPr>
      <w:pBdr>
        <w:top w:val="single" w:color="auto" w:sz="8" w:space="0"/>
        <w:left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1">
    <w:name w:val="我的标题3"/>
    <w:basedOn w:val="5"/>
    <w:qFormat/>
    <w:uiPriority w:val="0"/>
    <w:pPr>
      <w:keepNext/>
      <w:keepLines/>
      <w:widowControl w:val="0"/>
      <w:adjustRightInd w:val="0"/>
      <w:spacing w:before="60" w:after="60" w:line="460" w:lineRule="exact"/>
      <w:ind w:firstLine="200" w:firstLineChars="200"/>
      <w:jc w:val="both"/>
    </w:pPr>
    <w:rPr>
      <w:rFonts w:ascii="Times New Roman" w:hAnsi="Times New Roman" w:eastAsia="黑体" w:cs="Times New Roman"/>
      <w:kern w:val="2"/>
      <w:sz w:val="24"/>
      <w:szCs w:val="28"/>
      <w:lang w:eastAsia="zh-CN" w:bidi="ar-SA"/>
    </w:rPr>
  </w:style>
  <w:style w:type="paragraph" w:customStyle="1" w:styleId="132">
    <w:name w:val="xl99"/>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3">
    <w:name w:val="xl86"/>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34">
    <w:name w:val="xl85"/>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35">
    <w:name w:val="xl77"/>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6">
    <w:name w:val="xl78"/>
    <w:basedOn w:val="1"/>
    <w:qFormat/>
    <w:uiPriority w:val="0"/>
    <w:pPr>
      <w:pBdr>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37">
    <w:name w:val="xl95"/>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8">
    <w:name w:val="font5"/>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39">
    <w:name w:val="我的标题1"/>
    <w:basedOn w:val="2"/>
    <w:qFormat/>
    <w:uiPriority w:val="0"/>
    <w:pPr>
      <w:keepNext/>
      <w:keepLines/>
      <w:widowControl w:val="0"/>
      <w:spacing w:before="120" w:after="120" w:line="460" w:lineRule="exact"/>
      <w:ind w:firstLine="200" w:firstLineChars="200"/>
      <w:contextualSpacing w:val="0"/>
      <w:jc w:val="center"/>
    </w:pPr>
    <w:rPr>
      <w:rFonts w:ascii="Times New Roman" w:hAnsi="Times New Roman" w:eastAsia="黑体" w:cs="Times New Roman"/>
      <w:b w:val="0"/>
      <w:bCs w:val="0"/>
      <w:kern w:val="44"/>
      <w:sz w:val="32"/>
      <w:szCs w:val="44"/>
      <w:lang w:eastAsia="zh-CN" w:bidi="ar-SA"/>
    </w:rPr>
  </w:style>
  <w:style w:type="paragraph" w:customStyle="1" w:styleId="140">
    <w:name w:val="xl114"/>
    <w:basedOn w:val="1"/>
    <w:qFormat/>
    <w:uiPriority w:val="0"/>
    <w:pPr>
      <w:pBdr>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41">
    <w:name w:val="xl101"/>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2">
    <w:name w:val="pic-info"/>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43">
    <w:name w:val="font6"/>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44">
    <w:name w:val="我的标题2"/>
    <w:basedOn w:val="4"/>
    <w:qFormat/>
    <w:uiPriority w:val="0"/>
    <w:pPr>
      <w:keepNext/>
      <w:keepLines/>
      <w:widowControl w:val="0"/>
      <w:spacing w:before="60" w:after="60" w:line="460" w:lineRule="exact"/>
      <w:ind w:firstLine="200" w:firstLineChars="200"/>
      <w:jc w:val="both"/>
    </w:pPr>
    <w:rPr>
      <w:rFonts w:ascii="Times New Roman" w:hAnsi="Times New Roman" w:eastAsia="黑体" w:cs="Times New Roman"/>
      <w:kern w:val="2"/>
      <w:sz w:val="30"/>
      <w:szCs w:val="32"/>
      <w:lang w:eastAsia="zh-CN" w:bidi="ar-SA"/>
    </w:rPr>
  </w:style>
  <w:style w:type="paragraph" w:customStyle="1" w:styleId="145">
    <w:name w:val="xl93"/>
    <w:basedOn w:val="1"/>
    <w:qFormat/>
    <w:uiPriority w:val="0"/>
    <w:pPr>
      <w:pBdr>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6">
    <w:name w:val="xl9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7">
    <w:name w:val="xl115"/>
    <w:basedOn w:val="1"/>
    <w:qFormat/>
    <w:uiPriority w:val="0"/>
    <w:pPr>
      <w:pBdr>
        <w:top w:val="single" w:color="auto" w:sz="8" w:space="0"/>
        <w:left w:val="single" w:color="auto" w:sz="8" w:space="0"/>
        <w:bottom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8">
    <w:name w:val="xl100"/>
    <w:basedOn w:val="1"/>
    <w:qFormat/>
    <w:uiPriority w:val="0"/>
    <w:pPr>
      <w:pBdr>
        <w:top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9">
    <w:name w:val="xl10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50">
    <w:name w:val="xl104"/>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paragraph" w:customStyle="1" w:styleId="151">
    <w:name w:val="xl74"/>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52">
    <w:name w:val="xl11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53">
    <w:name w:val="font10"/>
    <w:basedOn w:val="1"/>
    <w:qFormat/>
    <w:uiPriority w:val="0"/>
    <w:pPr>
      <w:spacing w:before="100" w:beforeAutospacing="1" w:after="100" w:afterAutospacing="1" w:line="240" w:lineRule="auto"/>
    </w:pPr>
    <w:rPr>
      <w:rFonts w:ascii="Times New Roman" w:hAnsi="Times New Roman" w:eastAsia="宋体" w:cs="Times New Roman"/>
      <w:b/>
      <w:bCs/>
      <w:color w:val="000000"/>
      <w:sz w:val="24"/>
      <w:szCs w:val="24"/>
      <w:lang w:eastAsia="zh-CN" w:bidi="ar-SA"/>
    </w:rPr>
  </w:style>
  <w:style w:type="paragraph" w:customStyle="1" w:styleId="154">
    <w:name w:val="xl75"/>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color w:val="000000"/>
      <w:sz w:val="18"/>
      <w:szCs w:val="18"/>
      <w:lang w:eastAsia="zh-CN" w:bidi="ar-SA"/>
    </w:rPr>
  </w:style>
  <w:style w:type="paragraph" w:customStyle="1" w:styleId="155">
    <w:name w:val="xl9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Times New Roman" w:hAnsi="Times New Roman" w:eastAsia="宋体" w:cs="Times New Roman"/>
      <w:i/>
      <w:iCs/>
      <w:sz w:val="18"/>
      <w:szCs w:val="18"/>
      <w:lang w:eastAsia="zh-CN" w:bidi="ar-SA"/>
    </w:rPr>
  </w:style>
  <w:style w:type="paragraph" w:customStyle="1" w:styleId="156">
    <w:name w:val="附图"/>
    <w:basedOn w:val="2"/>
    <w:qFormat/>
    <w:uiPriority w:val="0"/>
    <w:pPr>
      <w:widowControl w:val="0"/>
      <w:autoSpaceDE w:val="0"/>
      <w:autoSpaceDN w:val="0"/>
      <w:spacing w:before="0" w:line="500" w:lineRule="atLeast"/>
      <w:contextualSpacing w:val="0"/>
      <w:jc w:val="both"/>
    </w:pPr>
    <w:rPr>
      <w:rFonts w:ascii="楷体_GB2312" w:hAnsi="Times New Roman" w:eastAsia="楷体_GB2312" w:cs="Times New Roman"/>
      <w:bCs w:val="0"/>
      <w:kern w:val="2"/>
      <w:lang w:eastAsia="zh-CN" w:bidi="ar-SA"/>
    </w:rPr>
  </w:style>
  <w:style w:type="paragraph" w:customStyle="1" w:styleId="157">
    <w:name w:val="xl6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58">
    <w:name w:val="xl91"/>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sz w:val="18"/>
      <w:szCs w:val="18"/>
      <w:lang w:eastAsia="zh-CN" w:bidi="ar-SA"/>
    </w:rPr>
  </w:style>
  <w:style w:type="paragraph" w:customStyle="1" w:styleId="159">
    <w:name w:val="xl87"/>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60">
    <w:name w:val="xl105"/>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1">
    <w:name w:val="xl83"/>
    <w:basedOn w:val="1"/>
    <w:qFormat/>
    <w:uiPriority w:val="0"/>
    <w:pPr>
      <w:pBdr>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2">
    <w:name w:val="xl113"/>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63">
    <w:name w:val="xl92"/>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Times New Roman" w:hAnsi="Times New Roman" w:eastAsia="宋体" w:cs="Times New Roman"/>
      <w:sz w:val="18"/>
      <w:szCs w:val="18"/>
      <w:lang w:eastAsia="zh-CN" w:bidi="ar-SA"/>
    </w:rPr>
  </w:style>
  <w:style w:type="paragraph" w:customStyle="1" w:styleId="164">
    <w:name w:val="xl88"/>
    <w:basedOn w:val="1"/>
    <w:qFormat/>
    <w:uiPriority w:val="0"/>
    <w:pPr>
      <w:pBdr>
        <w:bottom w:val="single" w:color="auto" w:sz="8" w:space="0"/>
        <w:right w:val="single" w:color="auto" w:sz="8" w:space="0"/>
      </w:pBd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65">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66">
    <w:name w:val="xl8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67">
    <w:name w:val="xl94"/>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68">
    <w:name w:val="xl106"/>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69">
    <w:name w:val="xl107"/>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70">
    <w:name w:val="xl108"/>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71">
    <w:name w:val="xl109"/>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72">
    <w:name w:val="xl110"/>
    <w:basedOn w:val="1"/>
    <w:qFormat/>
    <w:uiPriority w:val="0"/>
    <w:pPr>
      <w:pBdr>
        <w:top w:val="single" w:color="auto" w:sz="8" w:space="0"/>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73">
    <w:name w:val="xl111"/>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character" w:customStyle="1" w:styleId="174">
    <w:name w:val="Char Char3"/>
    <w:qFormat/>
    <w:uiPriority w:val="0"/>
    <w:rPr>
      <w:rFonts w:eastAsia="宋体"/>
      <w:kern w:val="2"/>
      <w:sz w:val="18"/>
      <w:szCs w:val="18"/>
      <w:lang w:val="en-US" w:eastAsia="zh-CN" w:bidi="ar-SA"/>
    </w:rPr>
  </w:style>
  <w:style w:type="paragraph" w:customStyle="1" w:styleId="175">
    <w:name w:val="Char Char Char Char Char Char Char Char Char Char Char Char Char Char Char Char Char Char Char Char Char Char Char Char Char Char Char Char Char Char1 Char Char Char Char"/>
    <w:basedOn w:val="1"/>
    <w:qFormat/>
    <w:uiPriority w:val="0"/>
    <w:pPr>
      <w:widowControl w:val="0"/>
      <w:spacing w:after="0" w:line="240" w:lineRule="auto"/>
      <w:jc w:val="both"/>
    </w:pPr>
    <w:rPr>
      <w:rFonts w:ascii="Times New Roman" w:hAnsi="Times New Roman" w:eastAsia="宋体" w:cs="Times New Roman"/>
      <w:kern w:val="2"/>
      <w:sz w:val="21"/>
      <w:szCs w:val="21"/>
      <w:lang w:eastAsia="zh-CN" w:bidi="ar-SA"/>
    </w:rPr>
  </w:style>
  <w:style w:type="paragraph" w:customStyle="1" w:styleId="176">
    <w:name w:val="精河说明"/>
    <w:basedOn w:val="1"/>
    <w:link w:val="177"/>
    <w:qFormat/>
    <w:uiPriority w:val="0"/>
    <w:pPr>
      <w:widowControl w:val="0"/>
      <w:spacing w:after="0" w:line="360" w:lineRule="auto"/>
      <w:ind w:firstLine="420" w:firstLineChars="200"/>
    </w:pPr>
    <w:rPr>
      <w:rFonts w:ascii="宋体" w:hAnsi="宋体" w:eastAsia="宋体" w:cs="Times New Roman"/>
      <w:color w:val="000000"/>
      <w:kern w:val="2"/>
      <w:sz w:val="21"/>
      <w:szCs w:val="21"/>
      <w:lang w:eastAsia="zh-CN" w:bidi="ar-SA"/>
    </w:rPr>
  </w:style>
  <w:style w:type="character" w:customStyle="1" w:styleId="177">
    <w:name w:val="精河说明 Char"/>
    <w:basedOn w:val="38"/>
    <w:link w:val="176"/>
    <w:qFormat/>
    <w:uiPriority w:val="0"/>
    <w:rPr>
      <w:rFonts w:ascii="宋体" w:hAnsi="宋体"/>
      <w:color w:val="000000"/>
      <w:kern w:val="2"/>
      <w:sz w:val="21"/>
      <w:szCs w:val="21"/>
    </w:rPr>
  </w:style>
  <w:style w:type="paragraph" w:customStyle="1" w:styleId="178">
    <w:name w:val="vsbcontent_start"/>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79">
    <w:name w:val="vsbcontent_end"/>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180">
    <w:name w:val="001正文 Char"/>
    <w:basedOn w:val="38"/>
    <w:link w:val="181"/>
    <w:qFormat/>
    <w:uiPriority w:val="0"/>
    <w:rPr>
      <w:rFonts w:hAnsi="宋体"/>
      <w:color w:val="000000"/>
      <w:kern w:val="2"/>
      <w:sz w:val="24"/>
    </w:rPr>
  </w:style>
  <w:style w:type="paragraph" w:customStyle="1" w:styleId="181">
    <w:name w:val="001正文"/>
    <w:basedOn w:val="1"/>
    <w:link w:val="180"/>
    <w:qFormat/>
    <w:uiPriority w:val="0"/>
    <w:pPr>
      <w:widowControl w:val="0"/>
      <w:spacing w:after="0" w:line="360" w:lineRule="auto"/>
      <w:ind w:firstLine="200" w:firstLineChars="200"/>
      <w:jc w:val="both"/>
    </w:pPr>
    <w:rPr>
      <w:rFonts w:ascii="Times New Roman" w:hAnsi="宋体" w:eastAsia="宋体" w:cs="Times New Roman"/>
      <w:color w:val="000000"/>
      <w:kern w:val="2"/>
      <w:sz w:val="24"/>
      <w:szCs w:val="20"/>
      <w:lang w:eastAsia="zh-CN" w:bidi="ar-SA"/>
    </w:rPr>
  </w:style>
  <w:style w:type="paragraph" w:customStyle="1" w:styleId="18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83">
    <w:name w:val=" Char Char"/>
    <w:basedOn w:val="38"/>
    <w:link w:val="21"/>
    <w:qFormat/>
    <w:uiPriority w:val="0"/>
    <w:rPr>
      <w:rFonts w:ascii="宋体" w:hAnsi="Courier New"/>
      <w:szCs w:val="20"/>
    </w:rPr>
  </w:style>
  <w:style w:type="paragraph" w:customStyle="1" w:styleId="184">
    <w:name w:val="Table Text"/>
    <w:semiHidden/>
    <w:qFormat/>
    <w:uiPriority w:val="0"/>
    <w:pPr>
      <w:kinsoku w:val="0"/>
      <w:autoSpaceDE w:val="0"/>
      <w:autoSpaceDN w:val="0"/>
      <w:adjustRightInd w:val="0"/>
      <w:snapToGrid w:val="0"/>
      <w:spacing w:line="240" w:lineRule="auto"/>
      <w:jc w:val="left"/>
      <w:textAlignment w:val="baseline"/>
    </w:pPr>
    <w:rPr>
      <w:rFonts w:ascii="仿宋" w:hAnsi="仿宋" w:eastAsia="仿宋" w:cs="仿宋"/>
      <w:snapToGrid w:val="0"/>
      <w:color w:val="000000"/>
      <w:kern w:val="0"/>
      <w:sz w:val="24"/>
      <w:szCs w:val="24"/>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font61"/>
    <w:qFormat/>
    <w:uiPriority w:val="0"/>
    <w:rPr>
      <w:rFonts w:hint="eastAsia" w:ascii="宋体" w:hAnsi="宋体" w:eastAsia="宋体" w:cs="宋体"/>
      <w:b/>
      <w:bCs/>
      <w:color w:val="000000"/>
      <w:sz w:val="12"/>
      <w:szCs w:val="12"/>
      <w:u w:val="none"/>
    </w:rPr>
  </w:style>
  <w:style w:type="paragraph" w:customStyle="1" w:styleId="187">
    <w:name w:val="WPSOffice手动目录 3"/>
    <w:qFormat/>
    <w:uiPriority w:val="0"/>
    <w:pPr>
      <w:ind w:leftChars="400"/>
    </w:pPr>
    <w:rPr>
      <w:rFonts w:ascii="Times New Roman" w:hAnsi="Times New Roman" w:eastAsia="宋体" w:cs="Times New Roman"/>
      <w:sz w:val="20"/>
      <w:szCs w:val="20"/>
    </w:rPr>
  </w:style>
  <w:style w:type="character" w:customStyle="1" w:styleId="188">
    <w:name w:val="font41"/>
    <w:basedOn w:val="38"/>
    <w:qFormat/>
    <w:uiPriority w:val="0"/>
    <w:rPr>
      <w:rFonts w:hint="eastAsia" w:ascii="宋体" w:hAnsi="宋体" w:eastAsia="宋体" w:cs="宋体"/>
      <w:color w:val="000000"/>
      <w:sz w:val="18"/>
      <w:szCs w:val="18"/>
      <w:u w:val="none"/>
    </w:rPr>
  </w:style>
  <w:style w:type="character" w:customStyle="1" w:styleId="189">
    <w:name w:val="font21"/>
    <w:basedOn w:val="38"/>
    <w:qFormat/>
    <w:uiPriority w:val="0"/>
    <w:rPr>
      <w:rFonts w:hint="eastAsia" w:ascii="黑体" w:hAnsi="宋体" w:eastAsia="黑体" w:cs="黑体"/>
      <w:color w:val="000000"/>
      <w:sz w:val="18"/>
      <w:szCs w:val="18"/>
      <w:u w:val="none"/>
    </w:rPr>
  </w:style>
  <w:style w:type="character" w:customStyle="1" w:styleId="190">
    <w:name w:val="font71"/>
    <w:basedOn w:val="38"/>
    <w:qFormat/>
    <w:uiPriority w:val="0"/>
    <w:rPr>
      <w:rFonts w:hint="default" w:ascii="Times New Roman" w:hAnsi="Times New Roman" w:cs="Times New Roman"/>
      <w:color w:val="000000"/>
      <w:sz w:val="18"/>
      <w:szCs w:val="18"/>
      <w:u w:val="none"/>
    </w:rPr>
  </w:style>
  <w:style w:type="character" w:customStyle="1" w:styleId="191">
    <w:name w:val="font31"/>
    <w:basedOn w:val="38"/>
    <w:qFormat/>
    <w:uiPriority w:val="0"/>
    <w:rPr>
      <w:rFonts w:hint="eastAsia" w:ascii="黑体" w:hAnsi="宋体" w:eastAsia="黑体" w:cs="黑体"/>
      <w:color w:val="000000"/>
      <w:sz w:val="20"/>
      <w:szCs w:val="20"/>
      <w:u w:val="none"/>
    </w:rPr>
  </w:style>
  <w:style w:type="character" w:customStyle="1" w:styleId="192">
    <w:name w:val="font51"/>
    <w:basedOn w:val="38"/>
    <w:qFormat/>
    <w:uiPriority w:val="0"/>
    <w:rPr>
      <w:rFonts w:hint="eastAsia" w:ascii="宋体" w:hAnsi="宋体" w:eastAsia="宋体" w:cs="宋体"/>
      <w:color w:val="000000"/>
      <w:sz w:val="18"/>
      <w:szCs w:val="18"/>
      <w:u w:val="none"/>
    </w:rPr>
  </w:style>
  <w:style w:type="paragraph" w:customStyle="1" w:styleId="193">
    <w:name w:val="国空正文"/>
    <w:basedOn w:val="1"/>
    <w:qFormat/>
    <w:uiPriority w:val="0"/>
    <w:pPr>
      <w:spacing w:line="600" w:lineRule="exact"/>
      <w:ind w:firstLine="480" w:firstLineChars="200"/>
    </w:pPr>
    <w:rPr>
      <w:rFonts w:hint="eastAsia" w:ascii="仿宋_GB2312" w:hAnsi="仿宋_GB2312" w:eastAsia="仿宋_GB2312" w:cs="仿宋_GB2312"/>
      <w:kern w:val="0"/>
      <w:sz w:val="32"/>
      <w:szCs w:val="32"/>
    </w:rPr>
  </w:style>
  <w:style w:type="paragraph" w:customStyle="1" w:styleId="194">
    <w:name w:val="正文格式1"/>
    <w:qFormat/>
    <w:uiPriority w:val="0"/>
    <w:pPr>
      <w:widowControl w:val="0"/>
      <w:spacing w:line="500" w:lineRule="exact"/>
      <w:ind w:firstLine="538" w:firstLineChars="192"/>
      <w:jc w:val="both"/>
    </w:pPr>
    <w:rPr>
      <w:rFonts w:ascii="仿宋" w:hAnsi="仿宋" w:eastAsia="仿宋" w:cs="Times New Roman"/>
      <w:kern w:val="2"/>
      <w:sz w:val="28"/>
      <w:szCs w:val="24"/>
      <w:lang w:val="en-US" w:eastAsia="zh-CN" w:bidi="ar-SA"/>
    </w:rPr>
  </w:style>
  <w:style w:type="paragraph" w:customStyle="1" w:styleId="195">
    <w:name w:val="样式1"/>
    <w:qFormat/>
    <w:uiPriority w:val="0"/>
    <w:pPr>
      <w:widowControl w:val="0"/>
      <w:spacing w:line="360" w:lineRule="auto"/>
      <w:ind w:firstLine="200" w:firstLineChars="200"/>
      <w:jc w:val="both"/>
    </w:pPr>
    <w:rPr>
      <w:rFonts w:ascii="Calibri" w:hAnsi="Calibri" w:eastAsia="仿宋_GB2312" w:cs="Times New Roman"/>
      <w:kern w:val="2"/>
      <w:sz w:val="28"/>
      <w:szCs w:val="24"/>
      <w:lang w:val="en-US" w:eastAsia="zh-CN" w:bidi="ar-SA"/>
    </w:rPr>
  </w:style>
  <w:style w:type="paragraph" w:customStyle="1" w:styleId="196">
    <w:name w:val="4正文"/>
    <w:basedOn w:val="1"/>
    <w:qFormat/>
    <w:uiPriority w:val="0"/>
    <w:pPr>
      <w:spacing w:line="360" w:lineRule="auto"/>
      <w:ind w:firstLine="200" w:firstLineChars="200"/>
    </w:pPr>
    <w:rPr>
      <w:rFonts w:ascii="Times New Roman" w:hAnsi="Times New Roman"/>
      <w:spacing w:val="1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19</Pages>
  <Words>318</Words>
  <Characters>318</Characters>
  <Lines>122</Lines>
  <Paragraphs>83</Paragraphs>
  <TotalTime>1</TotalTime>
  <ScaleCrop>false</ScaleCrop>
  <LinksUpToDate>false</LinksUpToDate>
  <CharactersWithSpaces>324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2021-01-25T05:40:00Z</dcterms:created>
  <dc:creator>Administrator</dc:creator>
  <cp:lastModifiedBy>Administrator</cp:lastModifiedBy>
  <cp:lastPrinted>2018-11-15T15:00:00Z</cp:lastPrinted>
  <dcterms:modified xsi:type="dcterms:W3CDTF">2025-01-08T09:53:33Z</dcterms:modified>
  <dc:title>石家庄市桥西区</dc:title>
  <cp:revision>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75015C88695C4F08BAB5CBFFD9CD5D92_13</vt:lpwstr>
  </property>
  <property fmtid="{D5CDD505-2E9C-101B-9397-08002B2CF9AE}" pid="4" name="KSOTemplateDocerSaveRecord">
    <vt:lpwstr>eyJoZGlkIjoiYzA2MmFkMjQ4ZGY4ZTA0M2Y1Y2ViMWM3ZDRlMjc1NjYiLCJ1c2VySWQiOiIyMTc3Mjg1MDcifQ==</vt:lpwstr>
  </property>
</Properties>
</file>